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t xml:space="preserve">Professional Legal Services — Attorney &amp; Counselor at Law</w:t>
      </w:r>
    </w:p>
    <w:p>
      <w:pPr>
        <w:pStyle w:val="BodyText"/>
      </w:pPr>
      <w:r>
        <w:t xml:space="preserve">Issued in accordance with the Legal Services Authorities Act, 1987 &amp; Bar Council of India Regulations</w:t>
      </w:r>
    </w:p>
    <w:bookmarkEnd w:id="20"/>
    <w:bookmarkStart w:id="21" w:name="law-firm-details"/>
    <w:p>
      <w:pPr>
        <w:pStyle w:val="Heading3"/>
      </w:pPr>
      <w:r>
        <w:t xml:space="preserve">Law Firm Details</w:t>
      </w:r>
    </w:p>
    <w:p>
      <w:pPr>
        <w:pStyle w:val="FirstParagraph"/>
      </w:pPr>
      <w:r>
        <w:rPr>
          <w:bCs/>
          <w:b/>
        </w:rPr>
        <w:t xml:space="preserve">Arora &amp; Associates Legal Chambers</w:t>
      </w:r>
    </w:p>
    <w:p>
      <w:pPr>
        <w:pStyle w:val="BodyText"/>
      </w:pPr>
      <w:r>
        <w:t xml:space="preserve">3rd Floor, Connaught Place, Block E</w:t>
      </w:r>
    </w:p>
    <w:p>
      <w:pPr>
        <w:pStyle w:val="BodyText"/>
      </w:pPr>
      <w:r>
        <w:t xml:space="preserve">New Delhi – 110001, India</w:t>
      </w:r>
    </w:p>
    <w:p>
      <w:pPr>
        <w:pStyle w:val="BodyText"/>
      </w:pPr>
      <w:r>
        <w:t xml:space="preserve">Enrollment No.: D/4521/2003</w:t>
      </w:r>
    </w:p>
    <w:p>
      <w:pPr>
        <w:pStyle w:val="BodyText"/>
      </w:pPr>
      <w:r>
        <w:t xml:space="preserve">Phone: +91-11-4255-8890</w:t>
      </w:r>
    </w:p>
    <w:p>
      <w:pPr>
        <w:pStyle w:val="BodyText"/>
      </w:pPr>
      <w:r>
        <w:t xml:space="preserve">Email: legal@aroraassociates.in</w:t>
      </w:r>
    </w:p>
    <w:bookmarkEnd w:id="21"/>
    <w:bookmarkStart w:id="22" w:name="client-details"/>
    <w:p>
      <w:pPr>
        <w:pStyle w:val="Heading3"/>
      </w:pPr>
      <w:r>
        <w:t xml:space="preserve">Client Details</w:t>
      </w:r>
    </w:p>
    <w:p>
      <w:pPr>
        <w:pStyle w:val="FirstParagraph"/>
      </w:pPr>
      <w:r>
        <w:rPr>
          <w:bCs/>
          <w:b/>
        </w:rPr>
        <w:t xml:space="preserve">Mr. Rajesh Kumar Sharma</w:t>
      </w:r>
    </w:p>
    <w:p>
      <w:pPr>
        <w:pStyle w:val="BodyText"/>
      </w:pPr>
      <w:r>
        <w:t xml:space="preserve">14-B, Hauz Khas Village</w:t>
      </w:r>
    </w:p>
    <w:p>
      <w:pPr>
        <w:pStyle w:val="BodyText"/>
      </w:pPr>
      <w:r>
        <w:t xml:space="preserve">New Delhi – 110016, India</w:t>
      </w:r>
    </w:p>
    <w:p>
      <w:pPr>
        <w:pStyle w:val="BodyText"/>
      </w:pPr>
      <w:r>
        <w:t xml:space="preserve">Phone: +91-98110-XXXXX</w:t>
      </w:r>
    </w:p>
    <w:p>
      <w:pPr>
        <w:pStyle w:val="BodyText"/>
      </w:pPr>
      <w:r>
        <w:t xml:space="preserve">Email: r.sharma@email.com</w:t>
      </w:r>
    </w:p>
    <w:p>
      <w:pPr>
        <w:pStyle w:val="BodyText"/>
      </w:pPr>
      <w:r>
        <w:t xml:space="preserve">PAN: ABCDE1234F</w:t>
      </w:r>
    </w:p>
    <w:bookmarkEnd w:id="22"/>
    <w:p>
      <w:pPr>
        <w:pStyle w:val="BodyText"/>
      </w:pPr>
      <w:r>
        <w:rPr>
          <w:bCs/>
          <w:b/>
        </w:rPr>
        <w:t xml:space="preserve">Quotation Estimate No.:</w:t>
      </w:r>
      <w:r>
        <w:t xml:space="preserve"> </w:t>
      </w:r>
      <w:r>
        <w:t xml:space="preserve">QTE/ND/2025/00472</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the date of issue (i.e., until 14 July 2025)</w:t>
      </w:r>
    </w:p>
    <w:p>
      <w:pPr>
        <w:pStyle w:val="BodyText"/>
      </w:pPr>
      <w:r>
        <w:rPr>
          <w:bCs/>
          <w:b/>
        </w:rPr>
        <w:t xml:space="preserve">Jurisdiction:</w:t>
      </w:r>
      <w:r>
        <w:t xml:space="preserve"> </w:t>
      </w:r>
      <w:r>
        <w:t xml:space="preserve">Courts of New Delhi, India (including Delhi High Court, District &amp; Sessions Court, and Consumer Forums)</w:t>
      </w:r>
    </w:p>
    <w:p>
      <w:pPr>
        <w:pStyle w:val="BodyText"/>
      </w:pPr>
      <w:r>
        <w:rPr>
          <w:bCs/>
          <w:b/>
        </w:rPr>
        <w:t xml:space="preserve">Lead Lawyer:</w:t>
      </w:r>
      <w:r>
        <w:t xml:space="preserve"> </w:t>
      </w:r>
      <w:r>
        <w:t xml:space="preserve">Adv. Meera Arora, Senior Advocate, Supreme Court of India</w:t>
      </w:r>
    </w:p>
    <w:bookmarkStart w:id="23" w:name="scope-of-legal-services"/>
    <w:p>
      <w:pPr>
        <w:pStyle w:val="Heading2"/>
      </w:pPr>
      <w:r>
        <w:t xml:space="preserve">1. Scope of Legal Services</w:t>
      </w:r>
    </w:p>
    <w:p>
      <w:pPr>
        <w:pStyle w:val="FirstParagraph"/>
      </w:pPr>
      <w:r>
        <w:t xml:space="preserve">This</w:t>
      </w:r>
      <w:r>
        <w:t xml:space="preserve"> </w:t>
      </w:r>
      <w:r>
        <w:t xml:space="preserve">Quotation Estimate</w:t>
      </w:r>
      <w:r>
        <w:t xml:space="preserve"> </w:t>
      </w:r>
      <w:r>
        <w:t xml:space="preserve">is issued by Arora &amp; Associates Legal Chambers, a registered law firm operating in</w:t>
      </w:r>
      <w:r>
        <w:t xml:space="preserve"> </w:t>
      </w:r>
      <w:r>
        <w:t xml:space="preserve">New Delhi, India</w:t>
      </w:r>
      <w:r>
        <w:t xml:space="preserve">, to provide a comprehensive breakdown of professional fees for the engagement of a</w:t>
      </w:r>
      <w:r>
        <w:t xml:space="preserve"> </w:t>
      </w:r>
      <w:r>
        <w:t xml:space="preserve">Lawyer</w:t>
      </w:r>
      <w:r>
        <w:t xml:space="preserve"> </w:t>
      </w:r>
      <w:r>
        <w:t xml:space="preserve">and legal team to represent the Client in the following matters:</w:t>
      </w:r>
    </w:p>
    <w:p>
      <w:pPr>
        <w:numPr>
          <w:ilvl w:val="0"/>
          <w:numId w:val="1001"/>
        </w:numPr>
        <w:pStyle w:val="Compact"/>
      </w:pPr>
      <w:r>
        <w:t xml:space="preserve">Representation before the District &amp; Sessions Court, Tis Hazari Court Complex, New Delhi, in a civil suit for recovery of dues (Case No. CS-2847/2025).</w:t>
      </w:r>
    </w:p>
    <w:p>
      <w:pPr>
        <w:numPr>
          <w:ilvl w:val="0"/>
          <w:numId w:val="1001"/>
        </w:numPr>
        <w:pStyle w:val="Compact"/>
      </w:pPr>
      <w:r>
        <w:t xml:space="preserve">Preparation, filing, and drafting of all pleadings, written statements, affidavits, and legal memoranda.</w:t>
      </w:r>
    </w:p>
    <w:p>
      <w:pPr>
        <w:numPr>
          <w:ilvl w:val="0"/>
          <w:numId w:val="1001"/>
        </w:numPr>
        <w:pStyle w:val="Compact"/>
      </w:pPr>
      <w:r>
        <w:t xml:space="preserve">Attendance at all court hearings, interlocutory applications, and final arguments.</w:t>
      </w:r>
    </w:p>
    <w:p>
      <w:pPr>
        <w:numPr>
          <w:ilvl w:val="0"/>
          <w:numId w:val="1001"/>
        </w:numPr>
        <w:pStyle w:val="Compact"/>
      </w:pPr>
      <w:r>
        <w:t xml:space="preserve">Legal advisory and consultation sessions (up to 12 hours) regarding contractual obligations and compliance under Indian law.</w:t>
      </w:r>
    </w:p>
    <w:p>
      <w:pPr>
        <w:numPr>
          <w:ilvl w:val="0"/>
          <w:numId w:val="1001"/>
        </w:numPr>
        <w:pStyle w:val="Compact"/>
      </w:pPr>
      <w:r>
        <w:t xml:space="preserve">Preparation of a settlement or compromise deed, if mutually agreed upon by the parties.</w:t>
      </w:r>
    </w:p>
    <w:p>
      <w:pPr>
        <w:numPr>
          <w:ilvl w:val="0"/>
          <w:numId w:val="1001"/>
        </w:numPr>
        <w:pStyle w:val="Compact"/>
      </w:pPr>
      <w:r>
        <w:t xml:space="preserve">Post-judgment execution proceedings before the competent court in New Delhi, India.</w:t>
      </w:r>
    </w:p>
    <w:bookmarkEnd w:id="23"/>
    <w:bookmarkStart w:id="24" w:name="fee-structure-breakdown"/>
    <w:p>
      <w:pPr>
        <w:pStyle w:val="Heading2"/>
      </w:pPr>
      <w:r>
        <w:t xml:space="preserve">2. Fee Structure &amp; Breakdown</w:t>
      </w:r>
    </w:p>
    <w:p>
      <w:pPr>
        <w:pStyle w:val="FirstParagraph"/>
      </w:pPr>
      <w:r>
        <w:t xml:space="preserve">The following</w:t>
      </w:r>
      <w:r>
        <w:t xml:space="preserve"> </w:t>
      </w:r>
      <w:r>
        <w:t xml:space="preserve">Quotation Estimate</w:t>
      </w:r>
      <w:r>
        <w:t xml:space="preserve"> </w:t>
      </w:r>
      <w:r>
        <w:t xml:space="preserve">outlines the professional charges payable to the</w:t>
      </w:r>
      <w:r>
        <w:t xml:space="preserve"> </w:t>
      </w:r>
      <w:r>
        <w:t xml:space="preserve">Lawyer</w:t>
      </w:r>
      <w:r>
        <w:t xml:space="preserve"> </w:t>
      </w:r>
      <w:r>
        <w:t xml:space="preserve">and the legal team at Arora &amp; Associates for the services rendered in</w:t>
      </w:r>
      <w:r>
        <w:t xml:space="preserve"> </w:t>
      </w:r>
      <w:r>
        <w:t xml:space="preserve">New Delhi, India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consultation &amp; case assessment by Senior Advocate</w:t>
            </w:r>
          </w:p>
        </w:tc>
        <w:tc>
          <w:tcPr/>
          <w:p>
            <w:pPr>
              <w:pStyle w:val="Compact"/>
              <w:jc w:val="left"/>
            </w:pPr>
            <w:r>
              <w:t xml:space="preserve">3</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Drafting of plaint, written statement &amp; legal documents</w:t>
            </w:r>
          </w:p>
        </w:tc>
        <w:tc>
          <w:tcPr/>
          <w:p>
            <w:pPr>
              <w:pStyle w:val="Compact"/>
              <w:jc w:val="left"/>
            </w:pPr>
            <w:r>
              <w:t xml:space="preserve">12</w:t>
            </w:r>
          </w:p>
        </w:tc>
        <w:tc>
          <w:tcPr/>
          <w:p>
            <w:pPr>
              <w:pStyle w:val="Compact"/>
              <w:jc w:val="left"/>
            </w:pPr>
            <w:r>
              <w:t xml:space="preserve">4,000</w:t>
            </w:r>
          </w:p>
        </w:tc>
        <w:tc>
          <w:tcPr/>
          <w:p>
            <w:pPr>
              <w:pStyle w:val="Compact"/>
              <w:jc w:val="left"/>
            </w:pPr>
            <w:r>
              <w:t xml:space="preserve">48,000</w:t>
            </w:r>
          </w:p>
        </w:tc>
      </w:tr>
      <w:tr>
        <w:tc>
          <w:tcPr/>
          <w:p>
            <w:pPr>
              <w:pStyle w:val="Compact"/>
              <w:jc w:val="left"/>
            </w:pPr>
            <w:r>
              <w:t xml:space="preserve">3</w:t>
            </w:r>
          </w:p>
        </w:tc>
        <w:tc>
          <w:tcPr/>
          <w:p>
            <w:pPr>
              <w:pStyle w:val="Compact"/>
              <w:jc w:val="left"/>
            </w:pPr>
            <w:r>
              <w:t xml:space="preserve">Court appearances &amp; hearings (estimated 8 hearings)</w:t>
            </w:r>
          </w:p>
        </w:tc>
        <w:tc>
          <w:tcPr/>
          <w:p>
            <w:pPr>
              <w:pStyle w:val="Compact"/>
              <w:jc w:val="left"/>
            </w:pPr>
            <w:r>
              <w:t xml:space="preserve">16</w:t>
            </w:r>
          </w:p>
        </w:tc>
        <w:tc>
          <w:tcPr/>
          <w:p>
            <w:pPr>
              <w:pStyle w:val="Compact"/>
              <w:jc w:val="left"/>
            </w:pPr>
            <w:r>
              <w:t xml:space="preserve">6,000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Legal research, case law analysis &amp; advisory memos</w:t>
            </w:r>
          </w:p>
        </w:tc>
        <w:tc>
          <w:tcPr/>
          <w:p>
            <w:pPr>
              <w:pStyle w:val="Compact"/>
              <w:jc w:val="left"/>
            </w:pPr>
            <w:r>
              <w:t xml:space="preserve">10</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Settlement negotiation &amp; drafting of compromise deed</w:t>
            </w:r>
          </w:p>
        </w:tc>
        <w:tc>
          <w:tcPr/>
          <w:p>
            <w:pPr>
              <w:pStyle w:val="Compact"/>
              <w:jc w:val="left"/>
            </w:pPr>
            <w:r>
              <w:t xml:space="preserve">6</w:t>
            </w:r>
          </w:p>
        </w:tc>
        <w:tc>
          <w:tcPr/>
          <w:p>
            <w:pPr>
              <w:pStyle w:val="Compact"/>
              <w:jc w:val="left"/>
            </w:pPr>
            <w:r>
              <w:t xml:space="preserve">5,000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Execution proceedings &amp; post-judgment compliance</w:t>
            </w:r>
          </w:p>
        </w:tc>
        <w:tc>
          <w:tcPr/>
          <w:p>
            <w:pPr>
              <w:pStyle w:val="Compact"/>
              <w:jc w:val="left"/>
            </w:pPr>
            <w:r>
              <w:t xml:space="preserve">8</w:t>
            </w:r>
          </w:p>
        </w:tc>
        <w:tc>
          <w:tcPr/>
          <w:p>
            <w:pPr>
              <w:pStyle w:val="Compact"/>
              <w:jc w:val="left"/>
            </w:pPr>
            <w:r>
              <w:t xml:space="preserve">4,500</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Court fees, stamp duty &amp; government charges (reimbursable)</w:t>
            </w:r>
          </w:p>
        </w:tc>
        <w:tc>
          <w:tcPr/>
          <w:p>
            <w:pPr>
              <w:pStyle w:val="Compact"/>
              <w:jc w:val="left"/>
            </w:pPr>
            <w:r>
              <w:t xml:space="preserve">—</w:t>
            </w:r>
          </w:p>
        </w:tc>
        <w:tc>
          <w:tcPr/>
          <w:p>
            <w:pPr>
              <w:pStyle w:val="Compact"/>
              <w:jc w:val="left"/>
            </w:pPr>
            <w:r>
              <w:t xml:space="preserve">—</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Travel, printing, courier &amp; miscellaneous expenses</w:t>
            </w:r>
          </w:p>
        </w:tc>
        <w:tc>
          <w:tcPr/>
          <w:p>
            <w:pPr>
              <w:pStyle w:val="Compact"/>
              <w:jc w:val="left"/>
            </w:pPr>
            <w:r>
              <w:t xml:space="preserve">—</w:t>
            </w:r>
          </w:p>
        </w:tc>
        <w:tc>
          <w:tcPr/>
          <w:p>
            <w:pPr>
              <w:pStyle w:val="Compact"/>
              <w:jc w:val="left"/>
            </w:pPr>
            <w:r>
              <w:t xml:space="preserve">—</w:t>
            </w:r>
          </w:p>
        </w:tc>
        <w:tc>
          <w:tcPr/>
          <w:p>
            <w:pPr>
              <w:pStyle w:val="Compact"/>
              <w:jc w:val="left"/>
            </w:pPr>
            <w:r>
              <w:t xml:space="preserve">10,000</w:t>
            </w:r>
          </w:p>
        </w:tc>
      </w:tr>
      <w:tr>
        <w:tc>
          <w:tcPr>
            <w:gridSpan w:val="4"/>
          </w:tcPr>
          <w:p>
            <w:pPr>
              <w:pStyle w:val="Compact"/>
              <w:jc w:val="right"/>
            </w:pPr>
            <w:r>
              <w:t xml:space="preserve">Subtotal (Professional Fees + Expenses)</w:t>
            </w:r>
          </w:p>
        </w:tc>
        <w:tc>
          <w:tcPr/>
          <w:p>
            <w:pPr>
              <w:pStyle w:val="Compact"/>
              <w:jc w:val="left"/>
            </w:pPr>
            <w:r>
              <w:t xml:space="preserve">295,000</w:t>
            </w:r>
          </w:p>
        </w:tc>
      </w:tr>
      <w:tr>
        <w:tc>
          <w:tcPr>
            <w:gridSpan w:val="4"/>
          </w:tcPr>
          <w:p>
            <w:pPr>
              <w:pStyle w:val="Compact"/>
              <w:jc w:val="right"/>
            </w:pPr>
            <w:r>
              <w:t xml:space="preserve">GST @ 18% (as applicable under Indian tax law)</w:t>
            </w:r>
          </w:p>
        </w:tc>
        <w:tc>
          <w:tcPr/>
          <w:p>
            <w:pPr>
              <w:pStyle w:val="Compact"/>
              <w:jc w:val="left"/>
            </w:pPr>
            <w:r>
              <w:t xml:space="preserve">53,100</w:t>
            </w:r>
          </w:p>
        </w:tc>
      </w:tr>
      <w:tr>
        <w:tc>
          <w:tcPr>
            <w:gridSpan w:val="4"/>
          </w:tcPr>
          <w:p>
            <w:pPr>
              <w:pStyle w:val="Compact"/>
              <w:jc w:val="right"/>
            </w:pPr>
            <w:r>
              <w:t xml:space="preserve">TOTAL AMOUNT DUE (INR)</w:t>
            </w:r>
          </w:p>
        </w:tc>
        <w:tc>
          <w:tcPr/>
          <w:p>
            <w:pPr>
              <w:pStyle w:val="Compact"/>
              <w:jc w:val="left"/>
            </w:pPr>
            <w:r>
              <w:t xml:space="preserve">3,48,100</w:t>
            </w:r>
          </w:p>
        </w:tc>
      </w:tr>
    </w:tbl>
    <w:p>
      <w:pPr>
        <w:pStyle w:val="BodyText"/>
      </w:pPr>
      <w:r>
        <w:t xml:space="preserve">Amount in words: Three Lakh Forty-Eight Thousand One Hundred Rupees Only (INR 3,48,100/-)</w:t>
      </w:r>
    </w:p>
    <w:bookmarkEnd w:id="24"/>
    <w:bookmarkStart w:id="25" w:name="payment-terms"/>
    <w:p>
      <w:pPr>
        <w:pStyle w:val="Heading2"/>
      </w:pPr>
      <w:r>
        <w:t xml:space="preserve">3. Payment Terms</w:t>
      </w:r>
    </w:p>
    <w:p>
      <w:pPr>
        <w:pStyle w:val="FirstParagraph"/>
      </w:pPr>
      <w:r>
        <w:t xml:space="preserve">The Client shall make payment to the</w:t>
      </w:r>
      <w:r>
        <w:t xml:space="preserve"> </w:t>
      </w:r>
      <w:r>
        <w:t xml:space="preserve">Lawyer</w:t>
      </w:r>
      <w:r>
        <w:t xml:space="preserve"> </w:t>
      </w:r>
      <w:r>
        <w:t xml:space="preserve">and firm as per the following schedule, and this</w:t>
      </w:r>
      <w:r>
        <w:t xml:space="preserve"> </w:t>
      </w:r>
      <w:r>
        <w:t xml:space="preserve">Quotation Estimate</w:t>
      </w:r>
      <w:r>
        <w:t xml:space="preserve"> </w:t>
      </w:r>
      <w:r>
        <w:t xml:space="preserve">shall remain valid only upon adherence to these terms:</w:t>
      </w:r>
    </w:p>
    <w:p>
      <w:pPr>
        <w:numPr>
          <w:ilvl w:val="0"/>
          <w:numId w:val="1002"/>
        </w:numPr>
        <w:pStyle w:val="Compact"/>
      </w:pPr>
      <w:r>
        <w:rPr>
          <w:bCs/>
          <w:b/>
        </w:rPr>
        <w:t xml:space="preserve">Advance Payment (40%):</w:t>
      </w:r>
      <w:r>
        <w:t xml:space="preserve"> </w:t>
      </w:r>
      <w:r>
        <w:t xml:space="preserve">INR 1,39,240/- to be paid within 7 working days of acceptance of this Quotation Estimate, via bank transfer to the firm's designated account in New Delhi, India.</w:t>
      </w:r>
    </w:p>
    <w:p>
      <w:pPr>
        <w:numPr>
          <w:ilvl w:val="0"/>
          <w:numId w:val="1002"/>
        </w:numPr>
        <w:pStyle w:val="Compact"/>
      </w:pPr>
      <w:r>
        <w:rPr>
          <w:bCs/>
          <w:b/>
        </w:rPr>
        <w:t xml:space="preserve">Interim Payment (30%):</w:t>
      </w:r>
      <w:r>
        <w:t xml:space="preserve"> </w:t>
      </w:r>
      <w:r>
        <w:t xml:space="preserve">INR 1,04,430/- payable upon filing of the main suit or upon the first substantive hearing, whichever occurs earlier.</w:t>
      </w:r>
    </w:p>
    <w:p>
      <w:pPr>
        <w:numPr>
          <w:ilvl w:val="0"/>
          <w:numId w:val="1002"/>
        </w:numPr>
        <w:pStyle w:val="Compact"/>
      </w:pPr>
      <w:r>
        <w:rPr>
          <w:bCs/>
          <w:b/>
        </w:rPr>
        <w:t xml:space="preserve">Final Payment (30%):</w:t>
      </w:r>
      <w:r>
        <w:t xml:space="preserve"> </w:t>
      </w:r>
      <w:r>
        <w:t xml:space="preserve">INR 1,04,430/- payable upon conclusion of the matter, execution of judgment, or signing of the settlement deed.</w:t>
      </w:r>
    </w:p>
    <w:bookmarkEnd w:id="25"/>
    <w:bookmarkStart w:id="26" w:name="terms-conditions"/>
    <w:p>
      <w:pPr>
        <w:pStyle w:val="Heading2"/>
      </w:pPr>
      <w:r>
        <w:t xml:space="preserve">4. Terms &amp; Conditions</w:t>
      </w:r>
    </w:p>
    <w:p>
      <w:pPr>
        <w:numPr>
          <w:ilvl w:val="0"/>
          <w:numId w:val="1003"/>
        </w:numPr>
        <w:pStyle w:val="Compact"/>
      </w:pPr>
      <w:r>
        <w:t xml:space="preserve">This</w:t>
      </w:r>
      <w:r>
        <w:t xml:space="preserve"> </w:t>
      </w:r>
      <w:r>
        <w:t xml:space="preserve">Quotation Estimate</w:t>
      </w:r>
      <w:r>
        <w:t xml:space="preserve"> </w:t>
      </w:r>
      <w:r>
        <w:t xml:space="preserve">is a good-faith estimate of professional legal fees and is not a guarantee of the final amount. Actual charges may vary based on the complexity of the matter, additional court appearances, or unforeseen legal developments in the proceedings before courts in New Delhi, India.</w:t>
      </w:r>
    </w:p>
    <w:p>
      <w:pPr>
        <w:numPr>
          <w:ilvl w:val="0"/>
          <w:numId w:val="1003"/>
        </w:numPr>
        <w:pStyle w:val="Compact"/>
      </w:pPr>
      <w:r>
        <w:t xml:space="preserve">The</w:t>
      </w:r>
      <w:r>
        <w:t xml:space="preserve"> </w:t>
      </w:r>
      <w:r>
        <w:t xml:space="preserve">Lawyer</w:t>
      </w:r>
      <w:r>
        <w:t xml:space="preserve"> </w:t>
      </w:r>
      <w:r>
        <w:t xml:space="preserve">reserves the right to withdraw from the engagement upon 15 days' written notice if the Client fails to make payments as per the schedule outlined above.</w:t>
      </w:r>
    </w:p>
    <w:p>
      <w:pPr>
        <w:numPr>
          <w:ilvl w:val="0"/>
          <w:numId w:val="1003"/>
        </w:numPr>
        <w:pStyle w:val="Compact"/>
      </w:pPr>
      <w:r>
        <w:t xml:space="preserve">All communications, legal documents, and case files shall be maintained at the firm's office in Connaught Place, New Delhi, India, and shall be returned to the Client upon conclusion of the matter.</w:t>
      </w:r>
    </w:p>
    <w:p>
      <w:pPr>
        <w:numPr>
          <w:ilvl w:val="0"/>
          <w:numId w:val="1003"/>
        </w:numPr>
        <w:pStyle w:val="Compact"/>
      </w:pPr>
      <w:r>
        <w:t xml:space="preserve">The Client agrees to provide all necessary documents, information, and cooperation to the</w:t>
      </w:r>
      <w:r>
        <w:t xml:space="preserve"> </w:t>
      </w:r>
      <w:r>
        <w:t xml:space="preserve">Lawyer</w:t>
      </w:r>
      <w:r>
        <w:t xml:space="preserve"> </w:t>
      </w:r>
      <w:r>
        <w:t xml:space="preserve">in a timely manner. Delays caused by the Client may result in additional charges.</w:t>
      </w:r>
    </w:p>
    <w:p>
      <w:pPr>
        <w:numPr>
          <w:ilvl w:val="0"/>
          <w:numId w:val="1003"/>
        </w:numPr>
        <w:pStyle w:val="Compact"/>
      </w:pPr>
      <w:r>
        <w:t xml:space="preserve">This Quotation Estimate is governed by the laws of India and shall be subject to the jurisdiction of the courts in New Delhi, India.</w:t>
      </w:r>
    </w:p>
    <w:p>
      <w:pPr>
        <w:numPr>
          <w:ilvl w:val="0"/>
          <w:numId w:val="1003"/>
        </w:numPr>
        <w:pStyle w:val="Compact"/>
      </w:pPr>
      <w:r>
        <w:t xml:space="preserve">The firm and the Lawyer shall maintain strict confidentiality regarding all client information in accordance with the Code of Professional Conduct of the Bar Council of India.</w:t>
      </w:r>
    </w:p>
    <w:p>
      <w:pPr>
        <w:numPr>
          <w:ilvl w:val="0"/>
          <w:numId w:val="1003"/>
        </w:numPr>
        <w:pStyle w:val="Compact"/>
      </w:pPr>
      <w:r>
        <w:t xml:space="preserve">Any disputes arising from this Quotation Estimate shall be resolved through arbitration in New Delhi, India, in accordance with the Arbitration and Conciliation Act, 1996.</w:t>
      </w:r>
    </w:p>
    <w:p>
      <w:pPr>
        <w:numPr>
          <w:ilvl w:val="0"/>
          <w:numId w:val="1003"/>
        </w:numPr>
        <w:pStyle w:val="Compact"/>
      </w:pPr>
      <w:r>
        <w:t xml:space="preserve">This Quotation Estimate is valid for 30 days from the date of issue. Beyond this period, the fees and terms may be revised based on prevailing market rates and the Lawyer's availability.</w:t>
      </w:r>
    </w:p>
    <w:p>
      <w:pPr>
        <w:pStyle w:val="FirstParagraph"/>
      </w:pPr>
      <w:r>
        <w:rPr>
          <w:bCs/>
          <w:b/>
        </w:rPr>
        <w:t xml:space="preserve">Note:</w:t>
      </w:r>
      <w:r>
        <w:t xml:space="preserve"> </w:t>
      </w:r>
      <w:r>
        <w:t xml:space="preserve">This Quotation Estimate does not include fees for appeals before the Delhi High Court or the Supreme Court of India. Should the matter proceed to appellate jurisdiction, a separate Quotation Estimate shall be issued by the Lawyer upon the Client's written request. All rates are exclusive of any additional government levies imposed by the Government of India or the Government of National Capital Territory of Delhi.</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Lawyer</w:t>
      </w:r>
      <w:r>
        <w:t xml:space="preserve"> </w:t>
      </w:r>
      <w:r>
        <w:t xml:space="preserve">and legal team at Arora &amp; Associates Legal Chambers, New Delhi, India.</w:t>
      </w:r>
    </w:p>
    <w:p>
      <w:pPr>
        <w:pStyle w:val="BodyText"/>
      </w:pPr>
      <w:r>
        <w:rPr>
          <w:bCs/>
          <w:b/>
        </w:rPr>
        <w:t xml:space="preserve">For Arora &amp; Associates Legal Chambers</w:t>
      </w:r>
      <w:r>
        <w:br/>
      </w:r>
      <w:r>
        <w:t xml:space="preserve">Adv. Meera Arora (Senior Advocate)</w:t>
      </w:r>
      <w:r>
        <w:br/>
      </w:r>
      <w:r>
        <w:t xml:space="preserve">Date: _______________</w:t>
      </w:r>
    </w:p>
    <w:p>
      <w:pPr>
        <w:pStyle w:val="BodyText"/>
      </w:pPr>
      <w:r>
        <w:rPr>
          <w:bCs/>
          <w:b/>
        </w:rPr>
        <w:t xml:space="preserve">Client / Authorized Signatory</w:t>
      </w:r>
      <w:r>
        <w:br/>
      </w:r>
      <w:r>
        <w:t xml:space="preserve">Mr. Rajesh Kumar Sharma</w:t>
      </w:r>
      <w:r>
        <w:br/>
      </w:r>
      <w:r>
        <w:t xml:space="preserve">Date: _______________</w:t>
      </w:r>
    </w:p>
    <w:p>
      <w:pPr>
        <w:pStyle w:val="BodyText"/>
      </w:pPr>
      <w:r>
        <w:t xml:space="preserve">Arora &amp; Associates Legal Chambers | Connaught Place, New Delhi – 110001, India</w:t>
      </w:r>
    </w:p>
    <w:p>
      <w:pPr>
        <w:pStyle w:val="BodyText"/>
      </w:pPr>
      <w:r>
        <w:t xml:space="preserve">Registered with the Bar Council of India | Firm Reg. No. BCI/ND/2003/0891</w:t>
      </w:r>
    </w:p>
    <w:p>
      <w:pPr>
        <w:pStyle w:val="BodyText"/>
      </w:pPr>
      <w:r>
        <w:t xml:space="preserve">This Quotation Estimate is a confidential document intended solely for the named Client. Unauthorized reproduction or distribution is prohibited under Indian law.</w:t>
      </w:r>
    </w:p>
    <w:p>
      <w:pPr>
        <w:pStyle w:val="BodyText"/>
      </w:pPr>
      <w:r>
        <w:t xml:space="preserve">Page 1 of 1 | Generated on 14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New Delhi, India</dc:title>
  <dc:creator/>
  <dc:language>en</dc:language>
  <cp:keywords/>
  <dcterms:created xsi:type="dcterms:W3CDTF">2026-10-10T14:24:38Z</dcterms:created>
  <dcterms:modified xsi:type="dcterms:W3CDTF">2026-10-10T14:24:38Z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