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Jakarta,</w:t>
      </w:r>
      <w:r>
        <w:t xml:space="preserve"> </w:t>
      </w:r>
      <w:r>
        <w:t xml:space="preserve">Indonesia</w:t>
      </w:r>
    </w:p>
    <w:bookmarkStart w:id="20" w:name="quotation-estimate"/>
    <w:p>
      <w:pPr>
        <w:pStyle w:val="Heading1"/>
      </w:pPr>
      <w:r>
        <w:t xml:space="preserve">QUOTATION ESTIMATE</w:t>
      </w:r>
    </w:p>
    <w:p>
      <w:pPr>
        <w:pStyle w:val="FirstParagraph"/>
      </w:pPr>
      <w:r>
        <w:t xml:space="preserve">Professional Legal Services — Lawyer Consultation &amp; Representation</w:t>
      </w:r>
    </w:p>
    <w:p>
      <w:pPr>
        <w:pStyle w:val="BodyText"/>
      </w:pPr>
      <w:r>
        <w:t xml:space="preserve">Serving Clients Across</w:t>
      </w:r>
      <w:r>
        <w:t xml:space="preserve"> </w:t>
      </w:r>
      <w:r>
        <w:rPr>
          <w:bCs/>
          <w:b/>
        </w:rPr>
        <w:t xml:space="preserve">Indonesia Jakarta</w:t>
      </w:r>
      <w:r>
        <w:t xml:space="preserve"> </w:t>
      </w:r>
      <w:r>
        <w:t xml:space="preserve">and Surrounding Regions</w:t>
      </w:r>
    </w:p>
    <w:bookmarkEnd w:id="20"/>
    <w:bookmarkStart w:id="21" w:name="issued-by-lawyer-firm"/>
    <w:p>
      <w:pPr>
        <w:pStyle w:val="Heading3"/>
      </w:pPr>
      <w:r>
        <w:t xml:space="preserve">Issued By (Lawyer / Firm)</w:t>
      </w:r>
    </w:p>
    <w:p>
      <w:pPr>
        <w:pStyle w:val="FirstParagraph"/>
      </w:pPr>
      <w:r>
        <w:rPr>
          <w:bCs/>
          <w:b/>
        </w:rPr>
        <w:t xml:space="preserve">PT Nusantara Legal Counsel</w:t>
      </w:r>
      <w:r>
        <w:br/>
      </w:r>
      <w:r>
        <w:t xml:space="preserve">Jl. Jend. Sudirman Kav. 52-53, 21st Floor</w:t>
      </w:r>
      <w:r>
        <w:br/>
      </w:r>
      <w:r>
        <w:t xml:space="preserve">Jakarta Selatan 12190, Indonesia</w:t>
      </w:r>
      <w:r>
        <w:br/>
      </w:r>
      <w:r>
        <w:t xml:space="preserve">Tel: +62 21 5790 4455</w:t>
      </w:r>
      <w:r>
        <w:br/>
      </w:r>
      <w:r>
        <w:t xml:space="preserve">Email: quotation@nusantaraklegal.co.id</w:t>
      </w:r>
      <w:r>
        <w:br/>
      </w:r>
      <w:r>
        <w:t xml:space="preserve">License No: AHU-004521.AH.01.04</w:t>
      </w:r>
    </w:p>
    <w:bookmarkEnd w:id="21"/>
    <w:bookmarkStart w:id="22" w:name="prepared-for-client"/>
    <w:p>
      <w:pPr>
        <w:pStyle w:val="Heading3"/>
      </w:pPr>
      <w:r>
        <w:t xml:space="preserve">Prepared For (Client)</w:t>
      </w:r>
    </w:p>
    <w:p>
      <w:pPr>
        <w:pStyle w:val="FirstParagraph"/>
      </w:pPr>
      <w:r>
        <w:rPr>
          <w:bCs/>
          <w:b/>
        </w:rPr>
        <w:t xml:space="preserve">PT Maju Sejahtera Indonesia</w:t>
      </w:r>
      <w:r>
        <w:br/>
      </w:r>
      <w:r>
        <w:t xml:space="preserve">Jl. Gatot Subroto No. 88</w:t>
      </w:r>
      <w:r>
        <w:br/>
      </w:r>
      <w:r>
        <w:t xml:space="preserve">Jakarta Pusat 10270, Indonesia</w:t>
      </w:r>
      <w:r>
        <w:br/>
      </w:r>
      <w:r>
        <w:t xml:space="preserve">Attn: Mr. Budi Santoso, Director</w:t>
      </w:r>
      <w:r>
        <w:br/>
      </w:r>
      <w:r>
        <w:t xml:space="preserve">Tel: +62 812 3456 7890</w:t>
      </w:r>
      <w:r>
        <w:br/>
      </w:r>
      <w:r>
        <w:t xml:space="preserve">Email: budi.santoso@majusejahtera.co.id</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QTE/2025/JKT/00472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Service Location:</w:t>
            </w:r>
          </w:p>
        </w:tc>
        <w:tc>
          <w:tcPr/>
          <w:p>
            <w:pPr>
              <w:pStyle w:val="Compact"/>
              <w:jc w:val="left"/>
            </w:pPr>
            <w:r>
              <w:t xml:space="preserve">Jakarta, Indonesia (all administrative districts)</w:t>
            </w:r>
          </w:p>
        </w:tc>
      </w:tr>
      <w:tr>
        <w:tc>
          <w:tcPr/>
          <w:p>
            <w:pPr>
              <w:pStyle w:val="Compact"/>
              <w:jc w:val="left"/>
            </w:pPr>
            <w:r>
              <w:t xml:space="preserve">Engagement Type:</w:t>
            </w:r>
          </w:p>
        </w:tc>
        <w:tc>
          <w:tcPr/>
          <w:p>
            <w:pPr>
              <w:pStyle w:val="Compact"/>
              <w:jc w:val="left"/>
            </w:pPr>
            <w:r>
              <w:t xml:space="preserve">Retainer &amp; Project-Based Legal Representation</w:t>
            </w:r>
          </w:p>
        </w:tc>
      </w:tr>
      <w:tr>
        <w:tc>
          <w:tcPr/>
          <w:p>
            <w:pPr>
              <w:pStyle w:val="Compact"/>
              <w:jc w:val="left"/>
            </w:pPr>
            <w:r>
              <w:t xml:space="preserve">Currency:</w:t>
            </w:r>
          </w:p>
        </w:tc>
        <w:tc>
          <w:tcPr/>
          <w:p>
            <w:pPr>
              <w:pStyle w:val="Compact"/>
              <w:jc w:val="left"/>
            </w:pPr>
            <w:r>
              <w:t xml:space="preserve">Indonesian Rupiah (IDR)</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PT Nusantara Legal Counsel, a registered</w:t>
      </w:r>
      <w:r>
        <w:t xml:space="preserve"> </w:t>
      </w:r>
      <w:r>
        <w:t xml:space="preserve">Lawyer</w:t>
      </w:r>
      <w:r>
        <w:t xml:space="preserve"> </w:t>
      </w:r>
      <w:r>
        <w:t xml:space="preserve">firm operating under the Indonesian Bar Association (Perhimpunan Advokat Indonesia / PERADI), to provide PT Maju Sejahtera Indonesia with a comprehensive and transparent breakdown of professional legal fees for services to be rendered in</w:t>
      </w:r>
      <w:r>
        <w:t xml:space="preserve"> </w:t>
      </w:r>
      <w:r>
        <w:t xml:space="preserve">Indonesia Jakarta</w:t>
      </w:r>
      <w:r>
        <w:t xml:space="preserve">. This document serves as a binding financial proposal and does not constitute a final engagement contract until both parties execute the separate Legal Services Agreement.</w:t>
      </w:r>
    </w:p>
    <w:bookmarkEnd w:id="23"/>
    <w:bookmarkStart w:id="24" w:name="scope-of-legal-services"/>
    <w:p>
      <w:pPr>
        <w:pStyle w:val="Heading2"/>
      </w:pPr>
      <w:r>
        <w:t xml:space="preserve">2. Scope of Legal Services</w:t>
      </w:r>
    </w:p>
    <w:p>
      <w:pPr>
        <w:pStyle w:val="FirstParagraph"/>
      </w:pPr>
      <w:r>
        <w:t xml:space="preserve">The</w:t>
      </w:r>
      <w:r>
        <w:t xml:space="preserve"> </w:t>
      </w:r>
      <w:r>
        <w:t xml:space="preserve">Lawyer</w:t>
      </w:r>
      <w:r>
        <w:t xml:space="preserve"> </w:t>
      </w:r>
      <w:r>
        <w:t xml:space="preserve">team assigned to this engagement shall provide the following services within the jurisdiction of</w:t>
      </w:r>
      <w:r>
        <w:t xml:space="preserve"> </w:t>
      </w:r>
      <w:r>
        <w:t xml:space="preserve">Indonesia Jakarta</w:t>
      </w:r>
      <w:r>
        <w:t xml:space="preserve">, including but not limited to the Central, South, North, West, and East Jakarta administrative regions:</w:t>
      </w:r>
    </w:p>
    <w:p>
      <w:pPr>
        <w:numPr>
          <w:ilvl w:val="0"/>
          <w:numId w:val="1001"/>
        </w:numPr>
        <w:pStyle w:val="Compact"/>
      </w:pPr>
      <w:r>
        <w:rPr>
          <w:bCs/>
          <w:b/>
        </w:rPr>
        <w:t xml:space="preserve">Corporate Legal Advisory:</w:t>
      </w:r>
      <w:r>
        <w:t xml:space="preserve"> </w:t>
      </w:r>
      <w:r>
        <w:t xml:space="preserve">Ongoing consultation on corporate governance, compliance with Indonesian Company Law (UU PT No. 40/2007), and regulatory matters before the Ministry of Law and Human Rights.</w:t>
      </w:r>
    </w:p>
    <w:p>
      <w:pPr>
        <w:numPr>
          <w:ilvl w:val="0"/>
          <w:numId w:val="1001"/>
        </w:numPr>
        <w:pStyle w:val="Compact"/>
      </w:pPr>
      <w:r>
        <w:rPr>
          <w:bCs/>
          <w:b/>
        </w:rPr>
        <w:t xml:space="preserve">Contract Drafting &amp; Review:</w:t>
      </w:r>
      <w:r>
        <w:t xml:space="preserve"> </w:t>
      </w:r>
      <w:r>
        <w:t xml:space="preserve">Preparation, negotiation, and review of commercial agreements, joint venture contracts, and employment contracts in both Bahasa Indonesia and English.</w:t>
      </w:r>
    </w:p>
    <w:p>
      <w:pPr>
        <w:numPr>
          <w:ilvl w:val="0"/>
          <w:numId w:val="1001"/>
        </w:numPr>
        <w:pStyle w:val="Compact"/>
      </w:pPr>
      <w:r>
        <w:rPr>
          <w:bCs/>
          <w:b/>
        </w:rPr>
        <w:t xml:space="preserve">Dispute Resolution &amp; Litigation:</w:t>
      </w:r>
      <w:r>
        <w:t xml:space="preserve"> </w:t>
      </w:r>
      <w:r>
        <w:t xml:space="preserve">Representation before the Jakarta District Court (Pengadilan Negeri Jakarta), Jakarta High Court, and the Supreme Court of the Republic of Indonesia. This includes filing of claims, defense of suits, and mediation proceedings.</w:t>
      </w:r>
    </w:p>
    <w:p>
      <w:pPr>
        <w:numPr>
          <w:ilvl w:val="0"/>
          <w:numId w:val="1001"/>
        </w:numPr>
        <w:pStyle w:val="Compact"/>
      </w:pPr>
      <w:r>
        <w:rPr>
          <w:bCs/>
          <w:b/>
        </w:rPr>
        <w:t xml:space="preserve">Intellectual Property Protection:</w:t>
      </w:r>
      <w:r>
        <w:t xml:space="preserve"> </w:t>
      </w:r>
      <w:r>
        <w:t xml:space="preserve">Filing and enforcement of trademarks, patents, and copyrights with the Directorate General of Intellectual Property (DJKI) in Jakarta.</w:t>
      </w:r>
    </w:p>
    <w:p>
      <w:pPr>
        <w:numPr>
          <w:ilvl w:val="0"/>
          <w:numId w:val="1001"/>
        </w:numPr>
        <w:pStyle w:val="Compact"/>
      </w:pPr>
      <w:r>
        <w:rPr>
          <w:bCs/>
          <w:b/>
        </w:rPr>
        <w:t xml:space="preserve">Regulatory Compliance &amp; Licensing:</w:t>
      </w:r>
      <w:r>
        <w:t xml:space="preserve"> </w:t>
      </w:r>
      <w:r>
        <w:t xml:space="preserve">Assistance in obtaining business permits (NIB, OSS registration) and ensuring ongoing compliance with local Jakarta municipal regulations.</w:t>
      </w:r>
    </w:p>
    <w:p>
      <w:pPr>
        <w:numPr>
          <w:ilvl w:val="0"/>
          <w:numId w:val="1001"/>
        </w:numPr>
        <w:pStyle w:val="Compact"/>
      </w:pPr>
      <w:r>
        <w:rPr>
          <w:bCs/>
          <w:b/>
        </w:rPr>
        <w:t xml:space="preserve">Due Diligence:</w:t>
      </w:r>
      <w:r>
        <w:t xml:space="preserve"> </w:t>
      </w:r>
      <w:r>
        <w:t xml:space="preserve">Comprehensive legal due diligence for prospective mergers, acquisitions, or foreign investment transactions within Indonesia.</w:t>
      </w:r>
    </w:p>
    <w:bookmarkEnd w:id="24"/>
    <w:bookmarkStart w:id="25" w:name="Xd425b7276eeddd07a4619e502cb3dc6a10e7307"/>
    <w:p>
      <w:pPr>
        <w:pStyle w:val="Heading2"/>
      </w:pPr>
      <w:r>
        <w:t xml:space="preserve">3. Fee Structure &amp; Quotation Estimate Breakdown</w:t>
      </w:r>
    </w:p>
    <w:p>
      <w:pPr>
        <w:pStyle w:val="FirstParagraph"/>
      </w:pPr>
      <w:r>
        <w:t xml:space="preserve">The following</w:t>
      </w:r>
      <w:r>
        <w:t xml:space="preserve"> </w:t>
      </w:r>
      <w:r>
        <w:t xml:space="preserve">Quotation Estimate</w:t>
      </w:r>
      <w:r>
        <w:t xml:space="preserve"> </w:t>
      </w:r>
      <w:r>
        <w:t xml:space="preserve">outlines all anticipated professional fees. All amounts are stated in Indonesian Rupiah (IDR) and are exclusive of applicable Value Added Tax (PPN) at 11% as per Indonesian tax law.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Item</w:t>
            </w:r>
          </w:p>
        </w:tc>
        <w:tc>
          <w:tcPr/>
          <w:p>
            <w:pPr>
              <w:pStyle w:val="Compact"/>
              <w:jc w:val="left"/>
            </w:pPr>
            <w:r>
              <w:t xml:space="preserve">Rate / Basis</w:t>
            </w:r>
          </w:p>
        </w:tc>
        <w:tc>
          <w:tcPr/>
          <w:p>
            <w:pPr>
              <w:pStyle w:val="Compact"/>
              <w:jc w:val="left"/>
            </w:pPr>
            <w:r>
              <w:t xml:space="preserve">Estimated Hours</w:t>
            </w:r>
          </w:p>
        </w:tc>
        <w:tc>
          <w:tcPr/>
          <w:p>
            <w:pPr>
              <w:pStyle w:val="Compact"/>
              <w:jc w:val="left"/>
            </w:pPr>
            <w:r>
              <w:t xml:space="preserve">Estimated Cost (IDR)</w:t>
            </w:r>
          </w:p>
        </w:tc>
      </w:tr>
      <w:tr>
        <w:tc>
          <w:tcPr/>
          <w:p>
            <w:pPr>
              <w:pStyle w:val="Compact"/>
              <w:jc w:val="left"/>
            </w:pPr>
            <w:r>
              <w:t xml:space="preserve">1</w:t>
            </w:r>
          </w:p>
        </w:tc>
        <w:tc>
          <w:tcPr/>
          <w:p>
            <w:pPr>
              <w:pStyle w:val="Compact"/>
              <w:jc w:val="left"/>
            </w:pPr>
            <w:r>
              <w:t xml:space="preserve">Monthly Retainer — General Corporate Advisory (Lawyer on-call)</w:t>
            </w:r>
          </w:p>
        </w:tc>
        <w:tc>
          <w:tcPr/>
          <w:p>
            <w:pPr>
              <w:pStyle w:val="Compact"/>
              <w:jc w:val="left"/>
            </w:pPr>
            <w:r>
              <w:t xml:space="preserve">Flat monthly fee</w:t>
            </w:r>
          </w:p>
        </w:tc>
        <w:tc>
          <w:tcPr/>
          <w:p>
            <w:pPr>
              <w:pStyle w:val="Compact"/>
              <w:jc w:val="left"/>
            </w:pPr>
            <w:r>
              <w:t xml:space="preserve">12 months</w:t>
            </w:r>
          </w:p>
        </w:tc>
        <w:tc>
          <w:tcPr/>
          <w:p>
            <w:pPr>
              <w:pStyle w:val="Compact"/>
              <w:jc w:val="left"/>
            </w:pPr>
            <w:r>
              <w:t xml:space="preserve">1,200,000,000</w:t>
            </w:r>
          </w:p>
        </w:tc>
      </w:tr>
      <w:tr>
        <w:tc>
          <w:tcPr/>
          <w:p>
            <w:pPr>
              <w:pStyle w:val="Compact"/>
              <w:jc w:val="left"/>
            </w:pPr>
            <w:r>
              <w:t xml:space="preserve">2</w:t>
            </w:r>
          </w:p>
        </w:tc>
        <w:tc>
          <w:tcPr/>
          <w:p>
            <w:pPr>
              <w:pStyle w:val="Compact"/>
              <w:jc w:val="left"/>
            </w:pPr>
            <w:r>
              <w:t xml:space="preserve">Contract Drafting &amp; Review (per document)</w:t>
            </w:r>
          </w:p>
        </w:tc>
        <w:tc>
          <w:tcPr/>
          <w:p>
            <w:pPr>
              <w:pStyle w:val="Compact"/>
              <w:jc w:val="left"/>
            </w:pPr>
            <w:r>
              <w:t xml:space="preserve">IDR 15,000,000 / document</w:t>
            </w:r>
          </w:p>
        </w:tc>
        <w:tc>
          <w:tcPr/>
          <w:p>
            <w:pPr>
              <w:pStyle w:val="Compact"/>
              <w:jc w:val="left"/>
            </w:pPr>
            <w:r>
              <w:t xml:space="preserve">20 documents</w:t>
            </w:r>
          </w:p>
        </w:tc>
        <w:tc>
          <w:tcPr/>
          <w:p>
            <w:pPr>
              <w:pStyle w:val="Compact"/>
              <w:jc w:val="left"/>
            </w:pPr>
            <w:r>
              <w:t xml:space="preserve">300,000,000</w:t>
            </w:r>
          </w:p>
        </w:tc>
      </w:tr>
      <w:tr>
        <w:tc>
          <w:tcPr/>
          <w:p>
            <w:pPr>
              <w:pStyle w:val="Compact"/>
              <w:jc w:val="left"/>
            </w:pPr>
            <w:r>
              <w:t xml:space="preserve">3</w:t>
            </w:r>
          </w:p>
        </w:tc>
        <w:tc>
          <w:tcPr/>
          <w:p>
            <w:pPr>
              <w:pStyle w:val="Compact"/>
              <w:jc w:val="left"/>
            </w:pPr>
            <w:r>
              <w:t xml:space="preserve">Litigation Representation — Jakarta District Court (per case)</w:t>
            </w:r>
          </w:p>
        </w:tc>
        <w:tc>
          <w:tcPr/>
          <w:p>
            <w:pPr>
              <w:pStyle w:val="Compact"/>
              <w:jc w:val="left"/>
            </w:pPr>
            <w:r>
              <w:t xml:space="preserve">IDR 75,000,000 / case</w:t>
            </w:r>
          </w:p>
        </w:tc>
        <w:tc>
          <w:tcPr/>
          <w:p>
            <w:pPr>
              <w:pStyle w:val="Compact"/>
              <w:jc w:val="left"/>
            </w:pPr>
            <w:r>
              <w:t xml:space="preserve">3 cases</w:t>
            </w:r>
          </w:p>
        </w:tc>
        <w:tc>
          <w:tcPr/>
          <w:p>
            <w:pPr>
              <w:pStyle w:val="Compact"/>
              <w:jc w:val="left"/>
            </w:pPr>
            <w:r>
              <w:t xml:space="preserve">225,000,000</w:t>
            </w:r>
          </w:p>
        </w:tc>
      </w:tr>
      <w:tr>
        <w:tc>
          <w:tcPr/>
          <w:p>
            <w:pPr>
              <w:pStyle w:val="Compact"/>
              <w:jc w:val="left"/>
            </w:pPr>
            <w:r>
              <w:t xml:space="preserve">4</w:t>
            </w:r>
          </w:p>
        </w:tc>
        <w:tc>
          <w:tcPr/>
          <w:p>
            <w:pPr>
              <w:pStyle w:val="Compact"/>
              <w:jc w:val="left"/>
            </w:pPr>
            <w:r>
              <w:t xml:space="preserve">Intellectual Property Filing &amp; Enforcement</w:t>
            </w:r>
          </w:p>
        </w:tc>
        <w:tc>
          <w:tcPr/>
          <w:p>
            <w:pPr>
              <w:pStyle w:val="Compact"/>
              <w:jc w:val="left"/>
            </w:pPr>
            <w:r>
              <w:t xml:space="preserve">IDR 25,000,000 / filing</w:t>
            </w:r>
          </w:p>
        </w:tc>
        <w:tc>
          <w:tcPr/>
          <w:p>
            <w:pPr>
              <w:pStyle w:val="Compact"/>
              <w:jc w:val="left"/>
            </w:pPr>
            <w:r>
              <w:t xml:space="preserve">4 filings</w:t>
            </w:r>
          </w:p>
        </w:tc>
        <w:tc>
          <w:tcPr/>
          <w:p>
            <w:pPr>
              <w:pStyle w:val="Compact"/>
              <w:jc w:val="left"/>
            </w:pPr>
            <w:r>
              <w:t xml:space="preserve">100,000,000</w:t>
            </w:r>
          </w:p>
        </w:tc>
      </w:tr>
      <w:tr>
        <w:tc>
          <w:tcPr/>
          <w:p>
            <w:pPr>
              <w:pStyle w:val="Compact"/>
              <w:jc w:val="left"/>
            </w:pPr>
            <w:r>
              <w:t xml:space="preserve">5</w:t>
            </w:r>
          </w:p>
        </w:tc>
        <w:tc>
          <w:tcPr/>
          <w:p>
            <w:pPr>
              <w:pStyle w:val="Compact"/>
              <w:jc w:val="left"/>
            </w:pPr>
            <w:r>
              <w:t xml:space="preserve">Legal Due Diligence Report (per project)</w:t>
            </w:r>
          </w:p>
        </w:tc>
        <w:tc>
          <w:tcPr/>
          <w:p>
            <w:pPr>
              <w:pStyle w:val="Compact"/>
              <w:jc w:val="left"/>
            </w:pPr>
            <w:r>
              <w:t xml:space="preserve">IDR 120,000,000 / project</w:t>
            </w:r>
          </w:p>
        </w:tc>
        <w:tc>
          <w:tcPr/>
          <w:p>
            <w:pPr>
              <w:pStyle w:val="Compact"/>
              <w:jc w:val="left"/>
            </w:pPr>
            <w:r>
              <w:t xml:space="preserve">2 projects</w:t>
            </w:r>
          </w:p>
        </w:tc>
        <w:tc>
          <w:tcPr/>
          <w:p>
            <w:pPr>
              <w:pStyle w:val="Compact"/>
              <w:jc w:val="left"/>
            </w:pPr>
            <w:r>
              <w:t xml:space="preserve">240,000,000</w:t>
            </w:r>
          </w:p>
        </w:tc>
      </w:tr>
      <w:tr>
        <w:tc>
          <w:tcPr/>
          <w:p>
            <w:pPr>
              <w:pStyle w:val="Compact"/>
              <w:jc w:val="left"/>
            </w:pPr>
            <w:r>
              <w:t xml:space="preserve">6</w:t>
            </w:r>
          </w:p>
        </w:tc>
        <w:tc>
          <w:tcPr/>
          <w:p>
            <w:pPr>
              <w:pStyle w:val="Compact"/>
              <w:jc w:val="left"/>
            </w:pPr>
            <w:r>
              <w:t xml:space="preserve">Court Filing Fees, Notary Costs &amp; Government Charges (Indonesia Jakarta)</w:t>
            </w:r>
          </w:p>
        </w:tc>
        <w:tc>
          <w:tcPr/>
          <w:p>
            <w:pPr>
              <w:pStyle w:val="Compact"/>
              <w:jc w:val="left"/>
            </w:pPr>
            <w:r>
              <w:t xml:space="preserve">Actual cost reimbursement</w:t>
            </w:r>
          </w:p>
        </w:tc>
        <w:tc>
          <w:tcPr/>
          <w:p>
            <w:pPr>
              <w:pStyle w:val="Compact"/>
              <w:jc w:val="left"/>
            </w:pPr>
            <w:r>
              <w:t xml:space="preserve">Estimated</w:t>
            </w:r>
          </w:p>
        </w:tc>
        <w:tc>
          <w:tcPr/>
          <w:p>
            <w:pPr>
              <w:pStyle w:val="Compact"/>
              <w:jc w:val="left"/>
            </w:pPr>
            <w:r>
              <w:t xml:space="preserve">85,000,000</w:t>
            </w:r>
          </w:p>
        </w:tc>
      </w:tr>
      <w:tr>
        <w:tc>
          <w:tcPr/>
          <w:p>
            <w:pPr>
              <w:pStyle w:val="Compact"/>
              <w:jc w:val="left"/>
            </w:pPr>
            <w:r>
              <w:t xml:space="preserve">7</w:t>
            </w:r>
          </w:p>
        </w:tc>
        <w:tc>
          <w:tcPr/>
          <w:p>
            <w:pPr>
              <w:pStyle w:val="Compact"/>
              <w:jc w:val="left"/>
            </w:pPr>
            <w:r>
              <w:t xml:space="preserve">Travel &amp; Logistics within Jakarta Metropolitan Area</w:t>
            </w:r>
          </w:p>
        </w:tc>
        <w:tc>
          <w:tcPr/>
          <w:p>
            <w:pPr>
              <w:pStyle w:val="Compact"/>
              <w:jc w:val="left"/>
            </w:pPr>
            <w:r>
              <w:t xml:space="preserve">Actual cost reimbursement</w:t>
            </w:r>
          </w:p>
        </w:tc>
        <w:tc>
          <w:tcPr/>
          <w:p>
            <w:pPr>
              <w:pStyle w:val="Compact"/>
              <w:jc w:val="left"/>
            </w:pPr>
            <w:r>
              <w:t xml:space="preserve">Estimated</w:t>
            </w:r>
          </w:p>
        </w:tc>
        <w:tc>
          <w:tcPr/>
          <w:p>
            <w:pPr>
              <w:pStyle w:val="Compact"/>
              <w:jc w:val="left"/>
            </w:pPr>
            <w:r>
              <w:t xml:space="preserve">30,000,000</w:t>
            </w:r>
          </w:p>
        </w:tc>
      </w:tr>
      <w:tr>
        <w:tc>
          <w:tcPr>
            <w:gridSpan w:val="4"/>
          </w:tcPr>
          <w:p>
            <w:pPr>
              <w:pStyle w:val="Compact"/>
              <w:jc w:val="left"/>
            </w:pPr>
            <w:r>
              <w:t xml:space="preserve">TOTAL ESTIMATED PROFESSIONAL FEES (Excl. PPN 11%)</w:t>
            </w:r>
          </w:p>
        </w:tc>
        <w:tc>
          <w:tcPr/>
          <w:p>
            <w:pPr>
              <w:pStyle w:val="Compact"/>
              <w:jc w:val="left"/>
            </w:pPr>
            <w:r>
              <w:t xml:space="preserve">IDR 2,180,000,000</w:t>
            </w:r>
          </w:p>
        </w:tc>
      </w:tr>
      <w:tr>
        <w:tc>
          <w:tcPr>
            <w:gridSpan w:val="4"/>
          </w:tcPr>
          <w:p>
            <w:pPr>
              <w:pStyle w:val="Compact"/>
              <w:jc w:val="left"/>
            </w:pPr>
            <w:r>
              <w:t xml:space="preserve">PPN (11%)</w:t>
            </w:r>
          </w:p>
        </w:tc>
        <w:tc>
          <w:tcPr/>
          <w:p>
            <w:pPr>
              <w:pStyle w:val="Compact"/>
              <w:jc w:val="left"/>
            </w:pPr>
            <w:r>
              <w:t xml:space="preserve">IDR 239,800,000</w:t>
            </w:r>
          </w:p>
        </w:tc>
      </w:tr>
      <w:tr>
        <w:tc>
          <w:tcPr>
            <w:gridSpan w:val="4"/>
          </w:tcPr>
          <w:p>
            <w:pPr>
              <w:pStyle w:val="Compact"/>
              <w:jc w:val="left"/>
            </w:pPr>
            <w:r>
              <w:t xml:space="preserve">GRAND TOTAL (Incl. PPN)</w:t>
            </w:r>
          </w:p>
        </w:tc>
        <w:tc>
          <w:tcPr/>
          <w:p>
            <w:pPr>
              <w:pStyle w:val="Compact"/>
              <w:jc w:val="left"/>
            </w:pPr>
            <w:r>
              <w:t xml:space="preserve">IDR 2,419,800,000</w:t>
            </w:r>
          </w:p>
        </w:tc>
      </w:tr>
    </w:tbl>
    <w:bookmarkEnd w:id="25"/>
    <w:bookmarkStart w:id="26" w:name="payment-terms"/>
    <w:p>
      <w:pPr>
        <w:pStyle w:val="Heading2"/>
      </w:pPr>
      <w:r>
        <w:t xml:space="preserve">4. Payment Terms</w:t>
      </w:r>
    </w:p>
    <w:p>
      <w:pPr>
        <w:numPr>
          <w:ilvl w:val="0"/>
          <w:numId w:val="1002"/>
        </w:numPr>
        <w:pStyle w:val="Compact"/>
      </w:pPr>
      <w:r>
        <w:t xml:space="preserve">The monthly retainer fee shall be invoiced on the 1st of each calendar month and is payable within fourteen (14) business days via bank transfer to the firm's designated account at Bank Mandiri, Jakarta.</w:t>
      </w:r>
    </w:p>
    <w:p>
      <w:pPr>
        <w:numPr>
          <w:ilvl w:val="0"/>
          <w:numId w:val="1002"/>
        </w:numPr>
        <w:pStyle w:val="Compact"/>
      </w:pPr>
      <w:r>
        <w:t xml:space="preserve">Project-based fees (litigation, due diligence, IP filings) shall be invoiced upon commencement of the respective engagement, with a 50% upfront payment and 50% upon completion or final court ruling.</w:t>
      </w:r>
    </w:p>
    <w:p>
      <w:pPr>
        <w:numPr>
          <w:ilvl w:val="0"/>
          <w:numId w:val="1002"/>
        </w:numPr>
        <w:pStyle w:val="Compact"/>
      </w:pPr>
      <w:r>
        <w:t xml:space="preserve">Reimbursable expenses (court fees, notary costs, travel) shall be submitted with supporting receipts and are payable within ten (10) business days of invoice issuance.</w:t>
      </w:r>
    </w:p>
    <w:p>
      <w:pPr>
        <w:numPr>
          <w:ilvl w:val="0"/>
          <w:numId w:val="1002"/>
        </w:numPr>
        <w:pStyle w:val="Compact"/>
      </w:pPr>
      <w:r>
        <w:t xml:space="preserve">Late payments shall accrue interest at the rate of 1.5% per month, in accordance with standard commercial practice in</w:t>
      </w:r>
      <w:r>
        <w:t xml:space="preserve"> </w:t>
      </w:r>
      <w:r>
        <w:t xml:space="preserve">Indonesia Jakarta</w:t>
      </w:r>
      <w:r>
        <w:t xml:space="preserve">.</w:t>
      </w:r>
    </w:p>
    <w:bookmarkEnd w:id="26"/>
    <w:bookmarkStart w:id="27" w:name="X06f751c0fef37426aad28df54ec1acd620508e5"/>
    <w:p>
      <w:pPr>
        <w:pStyle w:val="Heading2"/>
      </w:pPr>
      <w:r>
        <w:t xml:space="preserve">5. Terms &amp; Conditions of This Quotation Estimate</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fees may be subject to revision based on market conditions and the</w:t>
      </w:r>
      <w:r>
        <w:t xml:space="preserve"> </w:t>
      </w:r>
      <w:r>
        <w:t xml:space="preserve">Lawyer</w:t>
      </w:r>
      <w:r>
        <w:t xml:space="preserve"> </w:t>
      </w:r>
      <w:r>
        <w:t xml:space="preserve">firm's updated rate card.</w:t>
      </w:r>
    </w:p>
    <w:p>
      <w:pPr>
        <w:numPr>
          <w:ilvl w:val="0"/>
          <w:numId w:val="1003"/>
        </w:numPr>
        <w:pStyle w:val="Compact"/>
      </w:pPr>
      <w:r>
        <w:t xml:space="preserve">All legal services shall be performed in strict compliance with the Indonesian Code of Ethics for Advocates (Kode Etik Advokat Indonesia) and the provisions of Law No. 18 of 2003 on Advocates and Attorneys.</w:t>
      </w:r>
    </w:p>
    <w:p>
      <w:pPr>
        <w:numPr>
          <w:ilvl w:val="0"/>
          <w:numId w:val="1003"/>
        </w:numPr>
        <w:pStyle w:val="Compact"/>
      </w:pPr>
      <w:r>
        <w:t xml:space="preserve">The</w:t>
      </w:r>
      <w:r>
        <w:t xml:space="preserve"> </w:t>
      </w:r>
      <w:r>
        <w:t xml:space="preserve">Lawyer</w:t>
      </w:r>
      <w:r>
        <w:t xml:space="preserve"> </w:t>
      </w:r>
      <w:r>
        <w:t xml:space="preserve">firm guarantees full confidentiality of all client information in accordance with the professional duty of secrecy (rahasia jabatan) as mandated by Indonesian law.</w:t>
      </w:r>
    </w:p>
    <w:p>
      <w:pPr>
        <w:numPr>
          <w:ilvl w:val="0"/>
          <w:numId w:val="1003"/>
        </w:numPr>
        <w:pStyle w:val="Compact"/>
      </w:pPr>
      <w:r>
        <w:t xml:space="preserve">This estimate covers services to be performed within the</w:t>
      </w:r>
      <w:r>
        <w:t xml:space="preserve"> </w:t>
      </w:r>
      <w:r>
        <w:t xml:space="preserve">Indonesia Jakarta</w:t>
      </w:r>
      <w:r>
        <w:t xml:space="preserve"> </w:t>
      </w:r>
      <w:r>
        <w:t xml:space="preserve">metropolitan area. Services requiring travel outside Jakarta (e.g., Bandung, Surabaya, Bali) shall be quoted separately with additional travel and accommodation charges.</w:t>
      </w:r>
    </w:p>
    <w:p>
      <w:pPr>
        <w:numPr>
          <w:ilvl w:val="0"/>
          <w:numId w:val="1003"/>
        </w:numPr>
        <w:pStyle w:val="Compact"/>
      </w:pPr>
      <w:r>
        <w:t xml:space="preserve">Any scope changes or additional services beyond those listed herein shall require a written amendment to this</w:t>
      </w:r>
      <w:r>
        <w:t xml:space="preserve"> </w:t>
      </w:r>
      <w:r>
        <w:t xml:space="preserve">Quotation Estimate</w:t>
      </w:r>
      <w:r>
        <w:t xml:space="preserve">, signed by both parties, before work commences.</w:t>
      </w:r>
    </w:p>
    <w:p>
      <w:pPr>
        <w:numPr>
          <w:ilvl w:val="0"/>
          <w:numId w:val="1003"/>
        </w:numPr>
        <w:pStyle w:val="Compact"/>
      </w:pPr>
      <w:r>
        <w:t xml:space="preserve">Disputes arising from this engagement shall be resolved through mediation in Jakarta, and failing that, through the Jakarta Arbitration Board (BANI) in accordance with its rules.</w:t>
      </w:r>
    </w:p>
    <w:bookmarkEnd w:id="27"/>
    <w:bookmarkStart w:id="28"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structure outlined herein for the engagement of the</w:t>
      </w:r>
      <w:r>
        <w:t xml:space="preserve"> </w:t>
      </w:r>
      <w:r>
        <w:t xml:space="preserve">Lawyer</w:t>
      </w:r>
      <w:r>
        <w:t xml:space="preserve"> </w:t>
      </w:r>
      <w:r>
        <w:t xml:space="preserve">firm in</w:t>
      </w:r>
      <w:r>
        <w:t xml:space="preserve"> </w:t>
      </w:r>
      <w:r>
        <w:t xml:space="preserve">Indonesia Jakarta</w:t>
      </w:r>
      <w:r>
        <w:t xml:space="preserve">. This acceptance does not yet constitute a binding contract; a separate Legal Services Agreement shall be executed within seven (7) business days of acceptance.</w:t>
      </w:r>
    </w:p>
    <w:p>
      <w:pPr>
        <w:pStyle w:val="BodyText"/>
      </w:pPr>
      <w:r>
        <w:t xml:space="preserve">For and on behalf of</w:t>
      </w:r>
      <w:r>
        <w:br/>
      </w:r>
      <w:r>
        <w:t xml:space="preserve">PT Nusantara Legal Counsel (Lawyer)</w:t>
      </w:r>
    </w:p>
    <w:p>
      <w:pPr>
        <w:pStyle w:val="BodyText"/>
      </w:pPr>
      <w:r>
        <w:rPr>
          <w:bCs/>
          <w:b/>
        </w:rPr>
        <w:t xml:space="preserve">Dr. Hendra Wijaya, S.H., M.H.</w:t>
      </w:r>
      <w:r>
        <w:br/>
      </w:r>
      <w:r>
        <w:t xml:space="preserve">Managing Partner / Lead Lawyer</w:t>
      </w:r>
      <w:r>
        <w:br/>
      </w:r>
      <w:r>
        <w:t xml:space="preserve">PERADI License No: 04521/JKT/2019</w:t>
      </w:r>
      <w:r>
        <w:br/>
      </w:r>
      <w:r>
        <w:t xml:space="preserve">Date: _______________</w:t>
      </w:r>
    </w:p>
    <w:p>
      <w:pPr>
        <w:pStyle w:val="BodyText"/>
      </w:pPr>
      <w:r>
        <w:t xml:space="preserve">For and on behalf of</w:t>
      </w:r>
      <w:r>
        <w:br/>
      </w:r>
      <w:r>
        <w:t xml:space="preserve">PT Maju Sejahtera Indonesia (Client)</w:t>
      </w:r>
    </w:p>
    <w:p>
      <w:pPr>
        <w:pStyle w:val="BodyText"/>
      </w:pPr>
      <w:r>
        <w:rPr>
          <w:bCs/>
          <w:b/>
        </w:rPr>
        <w:t xml:space="preserve">Budi Santoso</w:t>
      </w:r>
      <w:r>
        <w:br/>
      </w:r>
      <w:r>
        <w:t xml:space="preserve">Director</w:t>
      </w:r>
      <w:r>
        <w:br/>
      </w:r>
      <w:r>
        <w:t xml:space="preserve">Date: _______________</w:t>
      </w:r>
    </w:p>
    <w:p>
      <w:pPr>
        <w:pStyle w:val="BodyText"/>
      </w:pPr>
      <w:r>
        <w:t xml:space="preserve">This Quotation Estimate document was prepared by PT Nusantara Legal Counsel, a registered Lawyer firm in Indonesia Jakarta. Document Reference: QTE/2025/JKT/00472. This document is confidential and intended solely for the named recipient. Unauthorized reproduction or distribution is prohibited under Indonesian law. © 2025 PT Nusantara Legal Counsel.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Jakarta, Indonesia</dc:title>
  <dc:creator/>
  <dc:language>en</dc:language>
  <cp:keywords/>
  <dcterms:created xsi:type="dcterms:W3CDTF">2026-10-10T06:53:54Z</dcterms:created>
  <dcterms:modified xsi:type="dcterms:W3CDTF">2026-10-10T06:53:54Z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