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t xml:space="preserve">Ref. No: QTE-THR-2025-04712  |  Date: 15 June 2025</w:t>
      </w:r>
    </w:p>
    <w:bookmarkEnd w:id="20"/>
    <w:bookmarkStart w:id="21" w:name="issuing-law-firm"/>
    <w:p>
      <w:pPr>
        <w:pStyle w:val="Heading3"/>
      </w:pPr>
      <w:r>
        <w:t xml:space="preserve">Issuing Law Firm</w:t>
      </w:r>
    </w:p>
    <w:p>
      <w:pPr>
        <w:pStyle w:val="FirstParagraph"/>
      </w:pPr>
      <w:r>
        <w:rPr>
          <w:bCs/>
          <w:b/>
        </w:rPr>
        <w:t xml:space="preserve">Dr. Amir Hosseini &amp; Associates</w:t>
      </w:r>
      <w:r>
        <w:br/>
      </w:r>
      <w:r>
        <w:t xml:space="preserve">Licensed Lawyer — Bar Association of Tehran</w:t>
      </w:r>
      <w:r>
        <w:br/>
      </w:r>
      <w:r>
        <w:t xml:space="preserve">License No: 4821-THR</w:t>
      </w:r>
      <w:r>
        <w:br/>
      </w:r>
      <w:r>
        <w:t xml:space="preserve">Address: 14th Floor, Kowsar Tower, Valiasr Street,</w:t>
      </w:r>
      <w:r>
        <w:br/>
      </w:r>
      <w:r>
        <w:t xml:space="preserve">Tehran, Iran — Postal Code: 14186-35721</w:t>
      </w:r>
      <w:r>
        <w:br/>
      </w:r>
      <w:r>
        <w:t xml:space="preserve">Tel: +98-21-8876-4432</w:t>
      </w:r>
      <w:r>
        <w:br/>
      </w:r>
      <w:r>
        <w:t xml:space="preserve">Email: legal@hosseinilaw.ir</w:t>
      </w:r>
    </w:p>
    <w:bookmarkEnd w:id="21"/>
    <w:bookmarkStart w:id="22" w:name="client-recipient"/>
    <w:p>
      <w:pPr>
        <w:pStyle w:val="Heading3"/>
      </w:pPr>
      <w:r>
        <w:t xml:space="preserve">Client / Recipient</w:t>
      </w:r>
    </w:p>
    <w:p>
      <w:pPr>
        <w:pStyle w:val="FirstParagraph"/>
      </w:pPr>
      <w:r>
        <w:rPr>
          <w:bCs/>
          <w:b/>
        </w:rPr>
        <w:t xml:space="preserve">Mr. Reza Karimi</w:t>
      </w:r>
      <w:r>
        <w:br/>
      </w:r>
      <w:r>
        <w:t xml:space="preserve">National ID: 004-582-1193</w:t>
      </w:r>
      <w:r>
        <w:br/>
      </w:r>
      <w:r>
        <w:t xml:space="preserve">Address: Unit 7, Building 3, Enghelab Street,</w:t>
      </w:r>
      <w:r>
        <w:br/>
      </w:r>
      <w:r>
        <w:t xml:space="preserve">Vanak District, Tehran, Iran</w:t>
      </w:r>
      <w:r>
        <w:br/>
      </w:r>
      <w:r>
        <w:t xml:space="preserve">Tel: +98-912-345-6789</w:t>
      </w:r>
      <w:r>
        <w:br/>
      </w:r>
      <w:r>
        <w:t xml:space="preserve">Email: r.karimi@email.com</w:t>
      </w:r>
    </w:p>
    <w:bookmarkEnd w:id="22"/>
    <w:p>
      <w:pPr>
        <w:pStyle w:val="BodyText"/>
      </w:pPr>
      <w:r>
        <w:rPr>
          <w:bCs/>
          <w:b/>
        </w:rPr>
        <w:t xml:space="preserve">Subject:</w:t>
      </w:r>
      <w:r>
        <w:t xml:space="preserve"> </w:t>
      </w:r>
      <w:r>
        <w:t xml:space="preserve">Quotation Estimate for Comprehensive Legal Representation — Commercial Contract Dispute and Corporate Advisory</w:t>
      </w:r>
    </w:p>
    <w:p>
      <w:pPr>
        <w:pStyle w:val="BodyText"/>
      </w:pPr>
      <w:r>
        <w:rPr>
          <w:bCs/>
          <w:b/>
        </w:rPr>
        <w:t xml:space="preserve">Jurisdiction:</w:t>
      </w:r>
      <w:r>
        <w:t xml:space="preserve"> </w:t>
      </w:r>
      <w:r>
        <w:t xml:space="preserve">Islamic Republic of Iran — Tehran Provincial Courts</w:t>
      </w:r>
    </w:p>
    <w:p>
      <w:pPr>
        <w:pStyle w:val="BodyText"/>
      </w:pPr>
      <w:r>
        <w:rPr>
          <w:bCs/>
          <w:b/>
        </w:rPr>
        <w:t xml:space="preserve">Validity Period:</w:t>
      </w:r>
      <w:r>
        <w:t xml:space="preserve"> </w:t>
      </w:r>
      <w:r>
        <w:t xml:space="preserve">This Quotation Estimate shall remain valid for a period of thirty (30) calendar days from the date of issue.</w:t>
      </w:r>
    </w:p>
    <w:bookmarkStart w:id="23" w:name="scope-of-legal-services"/>
    <w:p>
      <w:pPr>
        <w:pStyle w:val="Heading2"/>
      </w:pPr>
      <w:r>
        <w:t xml:space="preserve">1. Scope of Legal Services</w:t>
      </w:r>
    </w:p>
    <w:p>
      <w:pPr>
        <w:pStyle w:val="FirstParagraph"/>
      </w:pPr>
      <w:r>
        <w:t xml:space="preserve">This Quotation Estimate is issued by the undersigned Lawyer, Dr. Amir Hosseini, a duly licensed attorney registered with the Bar Association of Tehran, in relation to the provision of legal counsel, representation, and advisory services to the above-named client. The scope of work encompasses the following areas of legal practice within the jurisdiction of Tehran, Iran:</w:t>
      </w:r>
    </w:p>
    <w:p>
      <w:pPr>
        <w:numPr>
          <w:ilvl w:val="0"/>
          <w:numId w:val="1001"/>
        </w:numPr>
        <w:pStyle w:val="Compact"/>
      </w:pPr>
      <w:r>
        <w:t xml:space="preserve">Full legal representation before the Commercial Courts of Tehran (Court No. 12, District 1) in the matter of a disputed supply contract valued at approximately 2.4 billion Iranian Rials.</w:t>
      </w:r>
    </w:p>
    <w:p>
      <w:pPr>
        <w:numPr>
          <w:ilvl w:val="0"/>
          <w:numId w:val="1001"/>
        </w:numPr>
        <w:pStyle w:val="Compact"/>
      </w:pPr>
      <w:r>
        <w:t xml:space="preserve">Drafting, review, and negotiation of all legal pleadings, motions, and written submissions required for the proceedings.</w:t>
      </w:r>
    </w:p>
    <w:p>
      <w:pPr>
        <w:numPr>
          <w:ilvl w:val="0"/>
          <w:numId w:val="1001"/>
        </w:numPr>
        <w:pStyle w:val="Compact"/>
      </w:pPr>
      <w:r>
        <w:t xml:space="preserve">Corporate advisory services regarding the restructuring of the client's limited liability company registered with the Tehran Companies Registry.</w:t>
      </w:r>
    </w:p>
    <w:p>
      <w:pPr>
        <w:numPr>
          <w:ilvl w:val="0"/>
          <w:numId w:val="1001"/>
        </w:numPr>
        <w:pStyle w:val="Compact"/>
      </w:pPr>
      <w:r>
        <w:t xml:space="preserve">Preparation of a comprehensive legal opinion on the enforceability of arbitration clauses under Iranian Civil Procedure Code and the 1997 Arbitration Law.</w:t>
      </w:r>
    </w:p>
    <w:p>
      <w:pPr>
        <w:numPr>
          <w:ilvl w:val="0"/>
          <w:numId w:val="1001"/>
        </w:numPr>
        <w:pStyle w:val="Compact"/>
      </w:pPr>
      <w:r>
        <w:t xml:space="preserve">Coordination with the Tehran Public Prosecutor's Office (Dadstani) should any criminal referral arise from the commercial dispute.</w:t>
      </w:r>
    </w:p>
    <w:p>
      <w:pPr>
        <w:numPr>
          <w:ilvl w:val="0"/>
          <w:numId w:val="1001"/>
        </w:numPr>
        <w:pStyle w:val="Compact"/>
      </w:pPr>
      <w:r>
        <w:t xml:space="preserve">Post-judgment enforcement proceedings before the Tehran Enforcement Office (Amr-e Ejra) in the event of a favorable ruling.</w:t>
      </w:r>
    </w:p>
    <w:bookmarkEnd w:id="23"/>
    <w:bookmarkStart w:id="24" w:name="fee-structure-and-cost-breakdown"/>
    <w:p>
      <w:pPr>
        <w:pStyle w:val="Heading2"/>
      </w:pPr>
      <w:r>
        <w:t xml:space="preserve">2. Fee Structure and Cost Breakdown</w:t>
      </w:r>
    </w:p>
    <w:p>
      <w:pPr>
        <w:pStyle w:val="FirstParagraph"/>
      </w:pPr>
      <w:r>
        <w:t xml:space="preserve">The following Quotation Estimate details all professional fees, disbursements, and applicable charges. All amounts are stated in Iranian Rials (IRR) unless otherwise indicated. The Lawyer's professional fees are calculated in accordance with the fee schedule approved by the Bar Association of Tehran for the fiscal year 1404 (2025).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 / Basis</w:t>
            </w:r>
          </w:p>
        </w:tc>
        <w:tc>
          <w:tcPr/>
          <w:p>
            <w:pPr>
              <w:pStyle w:val="Compact"/>
              <w:jc w:val="left"/>
            </w:pPr>
            <w:r>
              <w:t xml:space="preserve">Rate (IRR)</w:t>
            </w:r>
          </w:p>
        </w:tc>
        <w:tc>
          <w:tcPr/>
          <w:p>
            <w:pPr>
              <w:pStyle w:val="Compact"/>
              <w:jc w:val="left"/>
            </w:pPr>
            <w:r>
              <w:t xml:space="preserve">Estimated Amount (IRR)</w:t>
            </w:r>
          </w:p>
        </w:tc>
      </w:tr>
      <w:tr>
        <w:tc>
          <w:tcPr/>
          <w:p>
            <w:pPr>
              <w:pStyle w:val="Compact"/>
              <w:jc w:val="left"/>
            </w:pPr>
            <w:r>
              <w:t xml:space="preserve">1</w:t>
            </w:r>
          </w:p>
        </w:tc>
        <w:tc>
          <w:tcPr/>
          <w:p>
            <w:pPr>
              <w:pStyle w:val="Compact"/>
              <w:jc w:val="left"/>
            </w:pPr>
            <w:r>
              <w:t xml:space="preserve">Initial legal consultation and case assessment (Tehran office)</w:t>
            </w:r>
          </w:p>
        </w:tc>
        <w:tc>
          <w:tcPr/>
          <w:p>
            <w:pPr>
              <w:pStyle w:val="Compact"/>
              <w:jc w:val="left"/>
            </w:pPr>
            <w:r>
              <w:t xml:space="preserve">Per session (2 hrs)</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2</w:t>
            </w:r>
          </w:p>
        </w:tc>
        <w:tc>
          <w:tcPr/>
          <w:p>
            <w:pPr>
              <w:pStyle w:val="Compact"/>
              <w:jc w:val="left"/>
            </w:pPr>
            <w:r>
              <w:t xml:space="preserve">Court representation — Commercial Court, Tehran (per hearing)</w:t>
            </w:r>
          </w:p>
        </w:tc>
        <w:tc>
          <w:tcPr/>
          <w:p>
            <w:pPr>
              <w:pStyle w:val="Compact"/>
              <w:jc w:val="left"/>
            </w:pPr>
            <w:r>
              <w:t xml:space="preserve">Per appearance</w:t>
            </w:r>
          </w:p>
        </w:tc>
        <w:tc>
          <w:tcPr/>
          <w:p>
            <w:pPr>
              <w:pStyle w:val="Compact"/>
              <w:jc w:val="left"/>
            </w:pPr>
            <w:r>
              <w:t xml:space="preserve">12,000,000</w:t>
            </w:r>
          </w:p>
        </w:tc>
        <w:tc>
          <w:tcPr/>
          <w:p>
            <w:pPr>
              <w:pStyle w:val="Compact"/>
              <w:jc w:val="left"/>
            </w:pPr>
            <w:r>
              <w:t xml:space="preserve">72,000,000 (est. 6 hearings)</w:t>
            </w:r>
          </w:p>
        </w:tc>
      </w:tr>
      <w:tr>
        <w:tc>
          <w:tcPr/>
          <w:p>
            <w:pPr>
              <w:pStyle w:val="Compact"/>
              <w:jc w:val="left"/>
            </w:pPr>
            <w:r>
              <w:t xml:space="preserve">3</w:t>
            </w:r>
          </w:p>
        </w:tc>
        <w:tc>
          <w:tcPr/>
          <w:p>
            <w:pPr>
              <w:pStyle w:val="Compact"/>
              <w:jc w:val="left"/>
            </w:pPr>
            <w:r>
              <w:t xml:space="preserve">Drafting of legal pleadings, motions, and written submissions</w:t>
            </w:r>
          </w:p>
        </w:tc>
        <w:tc>
          <w:tcPr/>
          <w:p>
            <w:pPr>
              <w:pStyle w:val="Compact"/>
              <w:jc w:val="left"/>
            </w:pPr>
            <w:r>
              <w:t xml:space="preserve">Per document</w:t>
            </w:r>
          </w:p>
        </w:tc>
        <w:tc>
          <w:tcPr/>
          <w:p>
            <w:pPr>
              <w:pStyle w:val="Compact"/>
              <w:jc w:val="left"/>
            </w:pPr>
            <w:r>
              <w:t xml:space="preserve">5,000,000</w:t>
            </w:r>
          </w:p>
        </w:tc>
        <w:tc>
          <w:tcPr/>
          <w:p>
            <w:pPr>
              <w:pStyle w:val="Compact"/>
              <w:jc w:val="left"/>
            </w:pPr>
            <w:r>
              <w:t xml:space="preserve">35,000,000 (est. 7 documents)</w:t>
            </w:r>
          </w:p>
        </w:tc>
      </w:tr>
      <w:tr>
        <w:tc>
          <w:tcPr/>
          <w:p>
            <w:pPr>
              <w:pStyle w:val="Compact"/>
              <w:jc w:val="left"/>
            </w:pPr>
            <w:r>
              <w:t xml:space="preserve">4</w:t>
            </w:r>
          </w:p>
        </w:tc>
        <w:tc>
          <w:tcPr/>
          <w:p>
            <w:pPr>
              <w:pStyle w:val="Compact"/>
              <w:jc w:val="left"/>
            </w:pPr>
            <w:r>
              <w:t xml:space="preserve">Corporate advisory — company restructuring and registry filings</w:t>
            </w:r>
          </w:p>
        </w:tc>
        <w:tc>
          <w:tcPr/>
          <w:p>
            <w:pPr>
              <w:pStyle w:val="Compact"/>
              <w:jc w:val="left"/>
            </w:pPr>
            <w:r>
              <w:t xml:space="preserve">Flat fee</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5</w:t>
            </w:r>
          </w:p>
        </w:tc>
        <w:tc>
          <w:tcPr/>
          <w:p>
            <w:pPr>
              <w:pStyle w:val="Compact"/>
              <w:jc w:val="left"/>
            </w:pPr>
            <w:r>
              <w:t xml:space="preserve">Legal opinion on arbitration clause enforceability</w:t>
            </w:r>
          </w:p>
        </w:tc>
        <w:tc>
          <w:tcPr/>
          <w:p>
            <w:pPr>
              <w:pStyle w:val="Compact"/>
              <w:jc w:val="left"/>
            </w:pPr>
            <w:r>
              <w:t xml:space="preserve">Flat fee</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Enforcement proceedings before Tehran Enforcement Office</w:t>
            </w:r>
          </w:p>
        </w:tc>
        <w:tc>
          <w:tcPr/>
          <w:p>
            <w:pPr>
              <w:pStyle w:val="Compact"/>
              <w:jc w:val="left"/>
            </w:pPr>
            <w:r>
              <w:t xml:space="preserve">Per stage</w:t>
            </w:r>
          </w:p>
        </w:tc>
        <w:tc>
          <w:tcPr/>
          <w:p>
            <w:pPr>
              <w:pStyle w:val="Compact"/>
              <w:jc w:val="left"/>
            </w:pPr>
            <w:r>
              <w:t xml:space="preserve">8,000,000</w:t>
            </w:r>
          </w:p>
        </w:tc>
        <w:tc>
          <w:tcPr/>
          <w:p>
            <w:pPr>
              <w:pStyle w:val="Compact"/>
              <w:jc w:val="left"/>
            </w:pPr>
            <w:r>
              <w:t xml:space="preserve">24,000,000 (est. 3 stages)</w:t>
            </w:r>
          </w:p>
        </w:tc>
      </w:tr>
      <w:tr>
        <w:tc>
          <w:tcPr/>
          <w:p>
            <w:pPr>
              <w:pStyle w:val="Compact"/>
              <w:jc w:val="left"/>
            </w:pPr>
            <w:r>
              <w:t xml:space="preserve">7</w:t>
            </w:r>
          </w:p>
        </w:tc>
        <w:tc>
          <w:tcPr/>
          <w:p>
            <w:pPr>
              <w:pStyle w:val="Compact"/>
              <w:jc w:val="left"/>
            </w:pPr>
            <w:r>
              <w:t xml:space="preserve">Court filing fees, stamp duties, and official disbursements</w:t>
            </w:r>
          </w:p>
        </w:tc>
        <w:tc>
          <w:tcPr/>
          <w:p>
            <w:pPr>
              <w:pStyle w:val="Compact"/>
              <w:jc w:val="left"/>
            </w:pPr>
            <w:r>
              <w:t xml:space="preserve">Actual cost</w:t>
            </w:r>
          </w:p>
        </w:tc>
        <w:tc>
          <w:tcPr/>
          <w:p>
            <w:pPr>
              <w:pStyle w:val="Compact"/>
              <w:jc w:val="left"/>
            </w:pPr>
            <w:r>
              <w:t xml:space="preserve">—</w:t>
            </w:r>
          </w:p>
        </w:tc>
        <w:tc>
          <w:tcPr/>
          <w:p>
            <w:pPr>
              <w:pStyle w:val="Compact"/>
              <w:jc w:val="left"/>
            </w:pPr>
            <w:r>
              <w:t xml:space="preserve">15,000,000 (estimated)</w:t>
            </w:r>
          </w:p>
        </w:tc>
      </w:tr>
      <w:tr>
        <w:tc>
          <w:tcPr/>
          <w:p>
            <w:pPr>
              <w:pStyle w:val="Compact"/>
              <w:jc w:val="left"/>
            </w:pPr>
            <w:r>
              <w:t xml:space="preserve">8</w:t>
            </w:r>
          </w:p>
        </w:tc>
        <w:tc>
          <w:tcPr/>
          <w:p>
            <w:pPr>
              <w:pStyle w:val="Compact"/>
              <w:jc w:val="left"/>
            </w:pPr>
            <w:r>
              <w:t xml:space="preserve">Travel and local transportation within Tehran (court visits, client meetings)</w:t>
            </w:r>
          </w:p>
        </w:tc>
        <w:tc>
          <w:tcPr/>
          <w:p>
            <w:pPr>
              <w:pStyle w:val="Compact"/>
              <w:jc w:val="left"/>
            </w:pPr>
            <w:r>
              <w:t xml:space="preserve">Actual cost</w:t>
            </w:r>
          </w:p>
        </w:tc>
        <w:tc>
          <w:tcPr/>
          <w:p>
            <w:pPr>
              <w:pStyle w:val="Compact"/>
              <w:jc w:val="left"/>
            </w:pPr>
            <w:r>
              <w:t xml:space="preserve">—</w:t>
            </w:r>
          </w:p>
        </w:tc>
        <w:tc>
          <w:tcPr/>
          <w:p>
            <w:pPr>
              <w:pStyle w:val="Compact"/>
              <w:jc w:val="left"/>
            </w:pPr>
            <w:r>
              <w:t xml:space="preserve">5,000,000 (estimated)</w:t>
            </w:r>
          </w:p>
        </w:tc>
      </w:tr>
      <w:tr>
        <w:tc>
          <w:tcPr/>
          <w:p>
            <w:pPr>
              <w:pStyle w:val="Compact"/>
              <w:jc w:val="left"/>
            </w:pPr>
            <w:r>
              <w:t xml:space="preserve">9</w:t>
            </w:r>
          </w:p>
        </w:tc>
        <w:tc>
          <w:tcPr/>
          <w:p>
            <w:pPr>
              <w:pStyle w:val="Compact"/>
              <w:jc w:val="left"/>
            </w:pPr>
            <w:r>
              <w:t xml:space="preserve">Translation and notarization of foreign-language documents (if applicable)</w:t>
            </w:r>
          </w:p>
        </w:tc>
        <w:tc>
          <w:tcPr/>
          <w:p>
            <w:pPr>
              <w:pStyle w:val="Compact"/>
              <w:jc w:val="left"/>
            </w:pPr>
            <w:r>
              <w:t xml:space="preserve">Per page</w:t>
            </w:r>
          </w:p>
        </w:tc>
        <w:tc>
          <w:tcPr/>
          <w:p>
            <w:pPr>
              <w:pStyle w:val="Compact"/>
              <w:jc w:val="left"/>
            </w:pPr>
            <w:r>
              <w:t xml:space="preserve">450,000</w:t>
            </w:r>
          </w:p>
        </w:tc>
        <w:tc>
          <w:tcPr/>
          <w:p>
            <w:pPr>
              <w:pStyle w:val="Compact"/>
              <w:jc w:val="left"/>
            </w:pPr>
            <w:r>
              <w:t xml:space="preserve">4,500,000 (est. 10 pages)</w:t>
            </w:r>
          </w:p>
        </w:tc>
      </w:tr>
      <w:tr>
        <w:tc>
          <w:tcPr>
            <w:gridSpan w:val="4"/>
          </w:tcPr>
          <w:p>
            <w:pPr>
              <w:pStyle w:val="Compact"/>
              <w:jc w:val="right"/>
            </w:pPr>
            <w:r>
              <w:t xml:space="preserve">TOTAL ESTIMATED QUOTATION</w:t>
            </w:r>
          </w:p>
        </w:tc>
        <w:tc>
          <w:tcPr/>
          <w:p>
            <w:pPr>
              <w:pStyle w:val="Compact"/>
              <w:jc w:val="left"/>
            </w:pPr>
            <w:r>
              <w:t xml:space="preserve">205,500,000 IRR</w:t>
            </w:r>
          </w:p>
        </w:tc>
      </w:tr>
    </w:tbl>
    <w:p>
      <w:pPr>
        <w:pStyle w:val="BodyText"/>
      </w:pPr>
      <w:r>
        <w:rPr>
          <w:bCs/>
          <w:b/>
        </w:rPr>
        <w:t xml:space="preserve">Note:</w:t>
      </w:r>
      <w:r>
        <w:t xml:space="preserve"> </w:t>
      </w:r>
      <w:r>
        <w:t xml:space="preserve">The above Quotation Estimate is a good-faith projection based on the current scope of work. Should the matter proceed to the Supreme Court of Iran (Dadgah-e Ali) for appeal, additional fees will apply and a supplementary Quotation Estimate will be issued prior to any further proceedings. All fees are exclusive of Value Added Tax (VAT) where applicable under Iranian tax law.</w:t>
      </w:r>
    </w:p>
    <w:bookmarkEnd w:id="24"/>
    <w:bookmarkStart w:id="25" w:name="payment-terms"/>
    <w:p>
      <w:pPr>
        <w:pStyle w:val="Heading2"/>
      </w:pPr>
      <w:r>
        <w:t xml:space="preserve">3. Payment Terms</w:t>
      </w:r>
    </w:p>
    <w:p>
      <w:pPr>
        <w:pStyle w:val="FirstParagraph"/>
      </w:pPr>
      <w:r>
        <w:t xml:space="preserve">The total amount set forth in this Quotation Estimate shall be paid by the client to the Lawyer's designated bank account (Bank Melli Iran, Branch: Valiasr, Tehran) in the following installments:</w:t>
      </w:r>
    </w:p>
    <w:p>
      <w:pPr>
        <w:numPr>
          <w:ilvl w:val="0"/>
          <w:numId w:val="1002"/>
        </w:numPr>
        <w:pStyle w:val="Compact"/>
      </w:pPr>
      <w:r>
        <w:rPr>
          <w:bCs/>
          <w:b/>
        </w:rPr>
        <w:t xml:space="preserve">30% advance payment</w:t>
      </w:r>
      <w:r>
        <w:t xml:space="preserve"> </w:t>
      </w:r>
      <w:r>
        <w:t xml:space="preserve">(61,650,000 IRR) upon acceptance of this Quotation Estimate and execution of the retainer agreement.</w:t>
      </w:r>
    </w:p>
    <w:p>
      <w:pPr>
        <w:numPr>
          <w:ilvl w:val="0"/>
          <w:numId w:val="1002"/>
        </w:numPr>
        <w:pStyle w:val="Compact"/>
      </w:pPr>
      <w:r>
        <w:rPr>
          <w:bCs/>
          <w:b/>
        </w:rPr>
        <w:t xml:space="preserve">40% interim payment</w:t>
      </w:r>
      <w:r>
        <w:t xml:space="preserve"> </w:t>
      </w:r>
      <w:r>
        <w:t xml:space="preserve">(82,200,000 IRR) due upon filing of the principal statement of claim with the Tehran Commercial Court.</w:t>
      </w:r>
    </w:p>
    <w:p>
      <w:pPr>
        <w:numPr>
          <w:ilvl w:val="0"/>
          <w:numId w:val="1002"/>
        </w:numPr>
        <w:pStyle w:val="Compact"/>
      </w:pPr>
      <w:r>
        <w:rPr>
          <w:bCs/>
          <w:b/>
        </w:rPr>
        <w:t xml:space="preserve">30% final payment</w:t>
      </w:r>
      <w:r>
        <w:t xml:space="preserve"> </w:t>
      </w:r>
      <w:r>
        <w:t xml:space="preserve">(61,650,000 IRR) due upon conclusion of all proceedings or upon delivery of the final legal opinion, whichever occurs first.</w:t>
      </w:r>
    </w:p>
    <w:bookmarkEnd w:id="25"/>
    <w:bookmarkStart w:id="26" w:name="terms-and-conditions"/>
    <w:p>
      <w:pPr>
        <w:pStyle w:val="Heading2"/>
      </w:pPr>
      <w:r>
        <w:t xml:space="preserve">4. Terms and Conditions</w:t>
      </w:r>
    </w:p>
    <w:p>
      <w:pPr>
        <w:numPr>
          <w:ilvl w:val="0"/>
          <w:numId w:val="1003"/>
        </w:numPr>
        <w:pStyle w:val="Compact"/>
      </w:pPr>
      <w:r>
        <w:t xml:space="preserve">This Quotation Estimate constitutes a formal offer by the Lawyer and does not create an attorney-client relationship until a separate written retainer agreement is executed by both parties.</w:t>
      </w:r>
    </w:p>
    <w:p>
      <w:pPr>
        <w:numPr>
          <w:ilvl w:val="0"/>
          <w:numId w:val="1003"/>
        </w:numPr>
        <w:pStyle w:val="Compact"/>
      </w:pPr>
      <w:r>
        <w:t xml:space="preserve">The Lawyer shall act with the utmost professional diligence in accordance with the Code of Ethics of the Bar Association of Tehran and the provisions of the Iranian Lawyers' Law (1390).</w:t>
      </w:r>
    </w:p>
    <w:p>
      <w:pPr>
        <w:numPr>
          <w:ilvl w:val="0"/>
          <w:numId w:val="1003"/>
        </w:numPr>
        <w:pStyle w:val="Compact"/>
      </w:pPr>
      <w:r>
        <w:t xml:space="preserve">All communications, documents, and legal strategies developed in connection with this engagement shall be treated as strictly confidential under the attorney-client privilege recognized under Iranian law.</w:t>
      </w:r>
    </w:p>
    <w:p>
      <w:pPr>
        <w:numPr>
          <w:ilvl w:val="0"/>
          <w:numId w:val="1003"/>
        </w:numPr>
        <w:pStyle w:val="Compact"/>
      </w:pPr>
      <w:r>
        <w:t xml:space="preserve">The client agrees to provide all relevant documents, evidence, and factual information in a timely manner. Delays caused by the client's failure to cooperate may result in additional fees.</w:t>
      </w:r>
    </w:p>
    <w:p>
      <w:pPr>
        <w:numPr>
          <w:ilvl w:val="0"/>
          <w:numId w:val="1003"/>
        </w:numPr>
        <w:pStyle w:val="Compact"/>
      </w:pPr>
      <w:r>
        <w:t xml:space="preserve">The Lawyer reserves the right to withdraw from the engagement upon thirty (30) days' written notice, subject to the client's obligation to pay for all services rendered up to the date of withdrawal.</w:t>
      </w:r>
    </w:p>
    <w:p>
      <w:pPr>
        <w:numPr>
          <w:ilvl w:val="0"/>
          <w:numId w:val="1003"/>
        </w:numPr>
        <w:pStyle w:val="Compact"/>
      </w:pPr>
      <w:r>
        <w:t xml:space="preserve">Any dispute arising from this Quotation Estimate or the engagement it contemplates shall be resolved by the Disciplinary Committee of the Bar Association of Tehran, in accordance with the applicable rules of professional conduct.</w:t>
      </w:r>
    </w:p>
    <w:p>
      <w:pPr>
        <w:numPr>
          <w:ilvl w:val="0"/>
          <w:numId w:val="1003"/>
        </w:numPr>
        <w:pStyle w:val="Compact"/>
      </w:pPr>
      <w:r>
        <w:t xml:space="preserve">This Quotation Estimate is governed by and shall be interpreted in accordance with the laws of the Islamic Republic of Iran, with exclusive jurisdiction vested in the courts of Tehran.</w:t>
      </w:r>
    </w:p>
    <w:p>
      <w:pPr>
        <w:numPr>
          <w:ilvl w:val="0"/>
          <w:numId w:val="1003"/>
        </w:numPr>
        <w:pStyle w:val="Compact"/>
      </w:pPr>
      <w:r>
        <w:t xml:space="preserve">The Lawyer shall not be liable for any adverse court decision, as the outcome of legal proceedings is inherently uncertain and beyond the control of the attorney.</w:t>
      </w:r>
    </w:p>
    <w:bookmarkEnd w:id="26"/>
    <w:bookmarkStart w:id="27" w:name="acceptance"/>
    <w:p>
      <w:pPr>
        <w:pStyle w:val="Heading2"/>
      </w:pPr>
      <w:r>
        <w:t xml:space="preserve">5. Acceptance</w:t>
      </w:r>
    </w:p>
    <w:p>
      <w:pPr>
        <w:pStyle w:val="FirstParagraph"/>
      </w:pPr>
      <w:r>
        <w:t xml:space="preserve">By signing below, the client acknowledges receipt of this Quotation Estimate, confirms understanding of the scope of services, fee structure, and terms outlined herein, and agrees to proceed with the engagement of the named Lawyer for the legal matters described above in Tehran, Iran.</w:t>
      </w:r>
    </w:p>
    <w:p>
      <w:pPr>
        <w:pStyle w:val="BodyText"/>
      </w:pPr>
      <w:r>
        <w:rPr>
          <w:bCs/>
          <w:b/>
        </w:rPr>
        <w:t xml:space="preserve">For the Lawyer (Dr. Amir Hosseini)</w:t>
      </w:r>
      <w:r>
        <w:br/>
      </w:r>
      <w:r>
        <w:t xml:space="preserve">Name: Dr. Amir Hosseini</w:t>
      </w:r>
      <w:r>
        <w:br/>
      </w:r>
      <w:r>
        <w:t xml:space="preserve">License No: 4821-THR</w:t>
      </w:r>
      <w:r>
        <w:br/>
      </w:r>
      <w:r>
        <w:t xml:space="preserve">Signature &amp; Seal: _________________________</w:t>
      </w:r>
      <w:r>
        <w:br/>
      </w:r>
      <w:r>
        <w:t xml:space="preserve">Date: _________________________</w:t>
      </w:r>
    </w:p>
    <w:p>
      <w:pPr>
        <w:pStyle w:val="BodyText"/>
      </w:pPr>
      <w:r>
        <w:rPr>
          <w:bCs/>
          <w:b/>
        </w:rPr>
        <w:t xml:space="preserve">For the Client (Mr. Reza Karimi)</w:t>
      </w:r>
      <w:r>
        <w:br/>
      </w:r>
      <w:r>
        <w:t xml:space="preserve">Name: Reza Karimi</w:t>
      </w:r>
      <w:r>
        <w:br/>
      </w:r>
      <w:r>
        <w:t xml:space="preserve">National ID: 004-582-1193</w:t>
      </w:r>
      <w:r>
        <w:br/>
      </w:r>
      <w:r>
        <w:t xml:space="preserve">Signature: _________________________</w:t>
      </w:r>
      <w:r>
        <w:br/>
      </w:r>
      <w:r>
        <w:t xml:space="preserve">Date: _________________________</w:t>
      </w:r>
    </w:p>
    <w:p>
      <w:pPr>
        <w:pStyle w:val="BodyText"/>
      </w:pPr>
      <w:r>
        <w:t xml:space="preserve">Dr. Amir Hosseini &amp; Associates — Licensed Lawyer, Bar Association of Tehran, Iran</w:t>
      </w:r>
    </w:p>
    <w:p>
      <w:pPr>
        <w:pStyle w:val="BodyText"/>
      </w:pPr>
      <w:r>
        <w:t xml:space="preserve">This Quotation Estimate is valid for 30 days from the date of issue.  |  Page 1 of 1  |  Ref: QTE-THR-2025-04712</w:t>
      </w:r>
    </w:p>
    <w:p>
      <w:pPr>
        <w:pStyle w:val="BodyText"/>
      </w:pPr>
      <w:r>
        <w:t xml:space="preserve">© 2025 Hosseini Law Firm, Tehran, Islamic Republic of Iran.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Tehran, Iran</dc:title>
  <dc:creator/>
  <dc:language>en</dc:language>
  <cp:keywords/>
  <dcterms:created xsi:type="dcterms:W3CDTF">2026-10-10T06:21:59Z</dcterms:created>
  <dcterms:modified xsi:type="dcterms:W3CDTF">2026-10-10T06:21:59Z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