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quotation-estimate"/>
    <w:p>
      <w:pPr>
        <w:pStyle w:val="Heading1"/>
      </w:pPr>
      <w:r>
        <w:t xml:space="preserve">QUOTATION ESTIMATE</w:t>
      </w:r>
    </w:p>
    <w:p>
      <w:pPr>
        <w:pStyle w:val="FirstParagraph"/>
      </w:pPr>
      <w:r>
        <w:t xml:space="preserve">Professional Legal Services — Attorney at Law — Israel Jerusalem</w:t>
      </w:r>
    </w:p>
    <w:p>
      <w:pPr>
        <w:pStyle w:val="BodyText"/>
      </w:pPr>
      <w:r>
        <w:t xml:space="preserve">Ref. No.: QTE-JLM-2025-0487  |  Validity: 30 Calendar Days from Issue Date</w:t>
      </w:r>
    </w:p>
    <w:bookmarkEnd w:id="20"/>
    <w:p>
      <w:pPr>
        <w:pStyle w:val="BodyText"/>
      </w:pPr>
      <w:r>
        <w:t xml:space="preserve">Issued By:</w:t>
      </w:r>
    </w:p>
    <w:p>
      <w:pPr>
        <w:pStyle w:val="BodyText"/>
      </w:pPr>
      <w:r>
        <w:t xml:space="preserve">Adv. Daniel Levi, Attorney at Law</w:t>
      </w:r>
      <w:r>
        <w:br/>
      </w:r>
      <w:r>
        <w:t xml:space="preserve">Bar Association of Israel, License No. 52841</w:t>
      </w:r>
      <w:r>
        <w:br/>
      </w:r>
      <w:r>
        <w:t xml:space="preserve">14 King George Street, Suite 302</w:t>
      </w:r>
      <w:r>
        <w:br/>
      </w:r>
      <w:r>
        <w:t xml:space="preserve">Jerusalem, Israel 9710001</w:t>
      </w:r>
      <w:r>
        <w:br/>
      </w:r>
      <w:r>
        <w:t xml:space="preserve">Tel: +972-2-625-4410  |  Email: d.levi@jerusalem-law.co.il</w:t>
      </w:r>
    </w:p>
    <w:p>
      <w:pPr>
        <w:pStyle w:val="BodyText"/>
      </w:pPr>
      <w:r>
        <w:t xml:space="preserve">Prepared For:</w:t>
      </w:r>
    </w:p>
    <w:p>
      <w:pPr>
        <w:pStyle w:val="BodyText"/>
      </w:pPr>
      <w:r>
        <w:t xml:space="preserve">Client Name: _______________________</w:t>
      </w:r>
      <w:r>
        <w:br/>
      </w:r>
      <w:r>
        <w:t xml:space="preserve">Address: _______________________</w:t>
      </w:r>
      <w:r>
        <w:br/>
      </w:r>
      <w:r>
        <w:t xml:space="preserve">City: Jerusalem, Israel</w:t>
      </w:r>
      <w:r>
        <w:br/>
      </w:r>
      <w:r>
        <w:t xml:space="preserve">ID No.: _______________________</w:t>
      </w:r>
      <w:r>
        <w:br/>
      </w:r>
      <w:r>
        <w:t xml:space="preserve">Tel: _______________________</w:t>
      </w:r>
      <w:r>
        <w:br/>
      </w:r>
      <w:r>
        <w:t xml:space="preserve">Email: _______________________</w:t>
      </w:r>
      <w:r>
        <w:br/>
      </w:r>
      <w:r>
        <w:br/>
      </w:r>
      <w:r>
        <w:t xml:space="preserve">Date of Issue:</w:t>
      </w:r>
      <w:r>
        <w:t xml:space="preserve"> </w:t>
      </w:r>
      <w:r>
        <w:t xml:space="preserve">15 June 2025</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the undersigned</w:t>
      </w:r>
      <w:r>
        <w:t xml:space="preserve"> </w:t>
      </w:r>
      <w:r>
        <w:t xml:space="preserve">Lawyer</w:t>
      </w:r>
      <w:r>
        <w:t xml:space="preserve">, a licensed attorney registered with the Israel Bar Association, to provide the prospective client with a comprehensive, itemized breakdown of anticipated professional legal fees, court costs, and ancillary expenses related to the engagement of legal services within the jurisdiction of</w:t>
      </w:r>
      <w:r>
        <w:t xml:space="preserve"> </w:t>
      </w:r>
      <w:r>
        <w:t xml:space="preserve">Israel Jerusalem</w:t>
      </w:r>
      <w:r>
        <w:t xml:space="preserve">. This document serves as a binding estimate for the purposes of client review and approval prior to the commencement of any legal representation. All rates and figures contained herein are calculated in accordance with the prevailing fee schedules established by the Israel Bar Association and applicable Israeli legal regulations governing attorney compensation in the Jerusalem district.</w:t>
      </w:r>
    </w:p>
    <w:bookmarkEnd w:id="21"/>
    <w:bookmarkStart w:id="22" w:name="description-of-legal-services"/>
    <w:p>
      <w:pPr>
        <w:pStyle w:val="Heading2"/>
      </w:pPr>
      <w:r>
        <w:t xml:space="preserve">2. Description of Legal Services</w:t>
      </w:r>
    </w:p>
    <w:p>
      <w:pPr>
        <w:pStyle w:val="FirstParagraph"/>
      </w:pPr>
      <w:r>
        <w:t xml:space="preserve">The</w:t>
      </w:r>
      <w:r>
        <w:t xml:space="preserve"> </w:t>
      </w:r>
      <w:r>
        <w:t xml:space="preserve">Lawyer</w:t>
      </w:r>
      <w:r>
        <w:t xml:space="preserve"> </w:t>
      </w:r>
      <w:r>
        <w:t xml:space="preserve">hereby proposes to represent the client in the following matters before the competent courts and administrative bodies located in</w:t>
      </w:r>
      <w:r>
        <w:t xml:space="preserve"> </w:t>
      </w:r>
      <w:r>
        <w:t xml:space="preserve">Israel Jerusalem</w:t>
      </w:r>
      <w:r>
        <w:t xml:space="preserve">, including but not limited to the Jerusalem District Court, the Jerusalem Magistrate Court, and the relevant municipal and administrative tribunals. The scope of engagement encompasses legal consultation, drafting and filing of pleadings, attendance at hearings, negotiation, mediation, and full trial representation as may be required.</w:t>
      </w:r>
    </w:p>
    <w:bookmarkEnd w:id="22"/>
    <w:bookmarkStart w:id="23" w:name="itemized-fee-schedule"/>
    <w:p>
      <w:pPr>
        <w:pStyle w:val="Heading2"/>
      </w:pPr>
      <w:r>
        <w:t xml:space="preserve">3. Itemized Fee Schedule</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Rate (ILS)</w:t>
            </w:r>
          </w:p>
        </w:tc>
        <w:tc>
          <w:tcPr/>
          <w:p>
            <w:pPr>
              <w:pStyle w:val="Compact"/>
              <w:jc w:val="left"/>
            </w:pPr>
            <w:r>
              <w:t xml:space="preserve">Estimated Hours</w:t>
            </w:r>
          </w:p>
        </w:tc>
        <w:tc>
          <w:tcPr/>
          <w:p>
            <w:pPr>
              <w:pStyle w:val="Compact"/>
              <w:jc w:val="left"/>
            </w:pPr>
            <w:r>
              <w:t xml:space="preserve">Subtotal (ILS)</w:t>
            </w:r>
          </w:p>
        </w:tc>
      </w:tr>
      <w:tr>
        <w:tc>
          <w:tcPr/>
          <w:p>
            <w:pPr>
              <w:pStyle w:val="Compact"/>
              <w:jc w:val="left"/>
            </w:pPr>
            <w:r>
              <w:t xml:space="preserve">1</w:t>
            </w:r>
          </w:p>
        </w:tc>
        <w:tc>
          <w:tcPr/>
          <w:p>
            <w:pPr>
              <w:pStyle w:val="Compact"/>
              <w:jc w:val="left"/>
            </w:pPr>
            <w:r>
              <w:t xml:space="preserve">Initial legal consultation and case assessment (Jerusalem office)</w:t>
            </w:r>
          </w:p>
        </w:tc>
        <w:tc>
          <w:tcPr/>
          <w:p>
            <w:pPr>
              <w:pStyle w:val="Compact"/>
              <w:jc w:val="left"/>
            </w:pPr>
            <w:r>
              <w:t xml:space="preserve">1,200</w:t>
            </w:r>
          </w:p>
        </w:tc>
        <w:tc>
          <w:tcPr/>
          <w:p>
            <w:pPr>
              <w:pStyle w:val="Compact"/>
              <w:jc w:val="left"/>
            </w:pPr>
            <w:r>
              <w:t xml:space="preserve">2</w:t>
            </w:r>
          </w:p>
        </w:tc>
        <w:tc>
          <w:tcPr/>
          <w:p>
            <w:pPr>
              <w:pStyle w:val="Compact"/>
              <w:jc w:val="left"/>
            </w:pPr>
            <w:r>
              <w:t xml:space="preserve">2,400</w:t>
            </w:r>
          </w:p>
        </w:tc>
      </w:tr>
      <w:tr>
        <w:tc>
          <w:tcPr/>
          <w:p>
            <w:pPr>
              <w:pStyle w:val="Compact"/>
              <w:jc w:val="left"/>
            </w:pPr>
            <w:r>
              <w:t xml:space="preserve">2</w:t>
            </w:r>
          </w:p>
        </w:tc>
        <w:tc>
          <w:tcPr/>
          <w:p>
            <w:pPr>
              <w:pStyle w:val="Compact"/>
              <w:jc w:val="left"/>
            </w:pPr>
            <w:r>
              <w:t xml:space="preserve">Drafting and filing of complaint / petition before the Jerusalem District Court</w:t>
            </w:r>
          </w:p>
        </w:tc>
        <w:tc>
          <w:tcPr/>
          <w:p>
            <w:pPr>
              <w:pStyle w:val="Compact"/>
              <w:jc w:val="left"/>
            </w:pPr>
            <w:r>
              <w:t xml:space="preserve">1,500</w:t>
            </w:r>
          </w:p>
        </w:tc>
        <w:tc>
          <w:tcPr/>
          <w:p>
            <w:pPr>
              <w:pStyle w:val="Compact"/>
              <w:jc w:val="left"/>
            </w:pPr>
            <w:r>
              <w:t xml:space="preserve">8</w:t>
            </w:r>
          </w:p>
        </w:tc>
        <w:tc>
          <w:tcPr/>
          <w:p>
            <w:pPr>
              <w:pStyle w:val="Compact"/>
              <w:jc w:val="left"/>
            </w:pPr>
            <w:r>
              <w:t xml:space="preserve">12,000</w:t>
            </w:r>
          </w:p>
        </w:tc>
      </w:tr>
      <w:tr>
        <w:tc>
          <w:tcPr/>
          <w:p>
            <w:pPr>
              <w:pStyle w:val="Compact"/>
              <w:jc w:val="left"/>
            </w:pPr>
            <w:r>
              <w:t xml:space="preserve">3</w:t>
            </w:r>
          </w:p>
        </w:tc>
        <w:tc>
          <w:tcPr/>
          <w:p>
            <w:pPr>
              <w:pStyle w:val="Compact"/>
              <w:jc w:val="left"/>
            </w:pPr>
            <w:r>
              <w:t xml:space="preserve">Preparation of legal opinions and written submissions</w:t>
            </w:r>
          </w:p>
        </w:tc>
        <w:tc>
          <w:tcPr/>
          <w:p>
            <w:pPr>
              <w:pStyle w:val="Compact"/>
              <w:jc w:val="left"/>
            </w:pPr>
            <w:r>
              <w:t xml:space="preserve">1,500</w:t>
            </w:r>
          </w:p>
        </w:tc>
        <w:tc>
          <w:tcPr/>
          <w:p>
            <w:pPr>
              <w:pStyle w:val="Compact"/>
              <w:jc w:val="left"/>
            </w:pPr>
            <w:r>
              <w:t xml:space="preserve">10</w:t>
            </w:r>
          </w:p>
        </w:tc>
        <w:tc>
          <w:tcPr/>
          <w:p>
            <w:pPr>
              <w:pStyle w:val="Compact"/>
              <w:jc w:val="left"/>
            </w:pPr>
            <w:r>
              <w:t xml:space="preserve">15,000</w:t>
            </w:r>
          </w:p>
        </w:tc>
      </w:tr>
      <w:tr>
        <w:tc>
          <w:tcPr/>
          <w:p>
            <w:pPr>
              <w:pStyle w:val="Compact"/>
              <w:jc w:val="left"/>
            </w:pPr>
            <w:r>
              <w:t xml:space="preserve">4</w:t>
            </w:r>
          </w:p>
        </w:tc>
        <w:tc>
          <w:tcPr/>
          <w:p>
            <w:pPr>
              <w:pStyle w:val="Compact"/>
              <w:jc w:val="left"/>
            </w:pPr>
            <w:r>
              <w:t xml:space="preserve">Attendance at court hearings (per half-day session, Jerusalem)</w:t>
            </w:r>
          </w:p>
        </w:tc>
        <w:tc>
          <w:tcPr/>
          <w:p>
            <w:pPr>
              <w:pStyle w:val="Compact"/>
              <w:jc w:val="left"/>
            </w:pPr>
            <w:r>
              <w:t xml:space="preserve">2,500</w:t>
            </w:r>
          </w:p>
        </w:tc>
        <w:tc>
          <w:tcPr/>
          <w:p>
            <w:pPr>
              <w:pStyle w:val="Compact"/>
              <w:jc w:val="left"/>
            </w:pPr>
            <w:r>
              <w:t xml:space="preserve">6</w:t>
            </w:r>
          </w:p>
        </w:tc>
        <w:tc>
          <w:tcPr/>
          <w:p>
            <w:pPr>
              <w:pStyle w:val="Compact"/>
              <w:jc w:val="left"/>
            </w:pPr>
            <w:r>
              <w:t xml:space="preserve">15,000</w:t>
            </w:r>
          </w:p>
        </w:tc>
      </w:tr>
      <w:tr>
        <w:tc>
          <w:tcPr/>
          <w:p>
            <w:pPr>
              <w:pStyle w:val="Compact"/>
              <w:jc w:val="left"/>
            </w:pPr>
            <w:r>
              <w:t xml:space="preserve">5</w:t>
            </w:r>
          </w:p>
        </w:tc>
        <w:tc>
          <w:tcPr/>
          <w:p>
            <w:pPr>
              <w:pStyle w:val="Compact"/>
              <w:jc w:val="left"/>
            </w:pPr>
            <w:r>
              <w:t xml:space="preserve">Negotiation and settlement proceedings</w:t>
            </w:r>
          </w:p>
        </w:tc>
        <w:tc>
          <w:tcPr/>
          <w:p>
            <w:pPr>
              <w:pStyle w:val="Compact"/>
              <w:jc w:val="left"/>
            </w:pPr>
            <w:r>
              <w:t xml:space="preserve">1,800</w:t>
            </w:r>
          </w:p>
        </w:tc>
        <w:tc>
          <w:tcPr/>
          <w:p>
            <w:pPr>
              <w:pStyle w:val="Compact"/>
              <w:jc w:val="left"/>
            </w:pPr>
            <w:r>
              <w:t xml:space="preserve">5</w:t>
            </w:r>
          </w:p>
        </w:tc>
        <w:tc>
          <w:tcPr/>
          <w:p>
            <w:pPr>
              <w:pStyle w:val="Compact"/>
              <w:jc w:val="left"/>
            </w:pPr>
            <w:r>
              <w:t xml:space="preserve">9,000</w:t>
            </w:r>
          </w:p>
        </w:tc>
      </w:tr>
      <w:tr>
        <w:tc>
          <w:tcPr/>
          <w:p>
            <w:pPr>
              <w:pStyle w:val="Compact"/>
              <w:jc w:val="left"/>
            </w:pPr>
            <w:r>
              <w:t xml:space="preserve">6</w:t>
            </w:r>
          </w:p>
        </w:tc>
        <w:tc>
          <w:tcPr/>
          <w:p>
            <w:pPr>
              <w:pStyle w:val="Compact"/>
              <w:jc w:val="left"/>
            </w:pPr>
            <w:r>
              <w:t xml:space="preserve">Correspondence, document review, and case management</w:t>
            </w:r>
          </w:p>
        </w:tc>
        <w:tc>
          <w:tcPr/>
          <w:p>
            <w:pPr>
              <w:pStyle w:val="Compact"/>
              <w:jc w:val="left"/>
            </w:pPr>
            <w:r>
              <w:t xml:space="preserve">1,200</w:t>
            </w:r>
          </w:p>
        </w:tc>
        <w:tc>
          <w:tcPr/>
          <w:p>
            <w:pPr>
              <w:pStyle w:val="Compact"/>
              <w:jc w:val="left"/>
            </w:pPr>
            <w:r>
              <w:t xml:space="preserve">12</w:t>
            </w:r>
          </w:p>
        </w:tc>
        <w:tc>
          <w:tcPr/>
          <w:p>
            <w:pPr>
              <w:pStyle w:val="Compact"/>
              <w:jc w:val="left"/>
            </w:pPr>
            <w:r>
              <w:t xml:space="preserve">14,400</w:t>
            </w:r>
          </w:p>
        </w:tc>
      </w:tr>
      <w:tr>
        <w:tc>
          <w:tcPr/>
          <w:p>
            <w:pPr>
              <w:pStyle w:val="Compact"/>
              <w:jc w:val="left"/>
            </w:pPr>
            <w:r>
              <w:t xml:space="preserve">7</w:t>
            </w:r>
          </w:p>
        </w:tc>
        <w:tc>
          <w:tcPr/>
          <w:p>
            <w:pPr>
              <w:pStyle w:val="Compact"/>
              <w:jc w:val="left"/>
            </w:pPr>
            <w:r>
              <w:t xml:space="preserve">Appeal preparation and filing (if applicable, Jerusalem District Court)</w:t>
            </w:r>
          </w:p>
        </w:tc>
        <w:tc>
          <w:tcPr/>
          <w:p>
            <w:pPr>
              <w:pStyle w:val="Compact"/>
              <w:jc w:val="left"/>
            </w:pPr>
            <w:r>
              <w:t xml:space="preserve">1,500</w:t>
            </w:r>
          </w:p>
        </w:tc>
        <w:tc>
          <w:tcPr/>
          <w:p>
            <w:pPr>
              <w:pStyle w:val="Compact"/>
              <w:jc w:val="left"/>
            </w:pPr>
            <w:r>
              <w:t xml:space="preserve">6</w:t>
            </w:r>
          </w:p>
        </w:tc>
        <w:tc>
          <w:tcPr/>
          <w:p>
            <w:pPr>
              <w:pStyle w:val="Compact"/>
              <w:jc w:val="left"/>
            </w:pPr>
            <w:r>
              <w:t xml:space="preserve">9,000</w:t>
            </w:r>
          </w:p>
        </w:tc>
      </w:tr>
      <w:tr>
        <w:tc>
          <w:tcPr/>
          <w:p>
            <w:pPr>
              <w:pStyle w:val="Compact"/>
              <w:jc w:val="left"/>
            </w:pPr>
            <w:r>
              <w:t xml:space="preserve">8</w:t>
            </w:r>
          </w:p>
        </w:tc>
        <w:tc>
          <w:tcPr/>
          <w:p>
            <w:pPr>
              <w:pStyle w:val="Compact"/>
              <w:jc w:val="left"/>
            </w:pPr>
            <w:r>
              <w:t xml:space="preserve">Success fee (contingent upon favorable outcome, 10% of recovered amount)</w:t>
            </w:r>
          </w:p>
        </w:tc>
        <w:tc>
          <w:tcPr>
            <w:gridSpan w:val="2"/>
          </w:tcPr>
          <w:p>
            <w:pPr>
              <w:pStyle w:val="Compact"/>
              <w:jc w:val="left"/>
            </w:pPr>
            <w:r>
              <w:t xml:space="preserve">Contingent</w:t>
            </w:r>
          </w:p>
        </w:tc>
        <w:tc>
          <w:tcPr/>
          <w:p>
            <w:pPr>
              <w:pStyle w:val="Compact"/>
              <w:jc w:val="left"/>
            </w:pPr>
            <w:r>
              <w:t xml:space="preserve">Variable</w:t>
            </w:r>
          </w:p>
        </w:tc>
      </w:tr>
      <w:tr>
        <w:tc>
          <w:tcPr>
            <w:gridSpan w:val="4"/>
          </w:tcPr>
          <w:p>
            <w:pPr>
              <w:pStyle w:val="Compact"/>
              <w:jc w:val="left"/>
            </w:pPr>
            <w:r>
              <w:t xml:space="preserve">Estimated Total Professional Fees (excluding VAT and court costs):</w:t>
            </w:r>
          </w:p>
        </w:tc>
        <w:tc>
          <w:tcPr/>
          <w:p>
            <w:pPr>
              <w:pStyle w:val="Compact"/>
              <w:jc w:val="left"/>
            </w:pPr>
            <w:r>
              <w:t xml:space="preserve">ILS 76,800 + Variable</w:t>
            </w:r>
          </w:p>
        </w:tc>
      </w:tr>
      <w:tr>
        <w:tc>
          <w:tcPr>
            <w:gridSpan w:val="4"/>
          </w:tcPr>
          <w:p>
            <w:pPr>
              <w:pStyle w:val="Compact"/>
              <w:jc w:val="left"/>
            </w:pPr>
            <w:r>
              <w:t xml:space="preserve">VAT (18%):</w:t>
            </w:r>
          </w:p>
        </w:tc>
        <w:tc>
          <w:tcPr/>
          <w:p>
            <w:pPr>
              <w:pStyle w:val="Compact"/>
              <w:jc w:val="left"/>
            </w:pPr>
            <w:r>
              <w:t xml:space="preserve">ILS 13,824</w:t>
            </w:r>
          </w:p>
        </w:tc>
      </w:tr>
      <w:tr>
        <w:tc>
          <w:tcPr>
            <w:gridSpan w:val="4"/>
          </w:tcPr>
          <w:p>
            <w:pPr>
              <w:pStyle w:val="Compact"/>
              <w:jc w:val="left"/>
            </w:pPr>
            <w:r>
              <w:t xml:space="preserve">Estimated Grand Total (excluding court filing fees):</w:t>
            </w:r>
          </w:p>
        </w:tc>
        <w:tc>
          <w:tcPr/>
          <w:p>
            <w:pPr>
              <w:pStyle w:val="Compact"/>
              <w:jc w:val="left"/>
            </w:pPr>
            <w:r>
              <w:t xml:space="preserve">ILS 90,624 + Variable</w:t>
            </w:r>
          </w:p>
        </w:tc>
      </w:tr>
    </w:tbl>
    <w:bookmarkEnd w:id="23"/>
    <w:bookmarkStart w:id="24" w:name="additional-costs-and-disbursements"/>
    <w:p>
      <w:pPr>
        <w:pStyle w:val="Heading2"/>
      </w:pPr>
      <w:r>
        <w:t xml:space="preserve">4. Additional Costs and Disbursements</w:t>
      </w:r>
    </w:p>
    <w:p>
      <w:pPr>
        <w:pStyle w:val="FirstParagraph"/>
      </w:pPr>
      <w:r>
        <w:t xml:space="preserve">The client acknowledges that the above</w:t>
      </w:r>
      <w:r>
        <w:t xml:space="preserve"> </w:t>
      </w:r>
      <w:r>
        <w:t xml:space="preserve">Quotation Estimate</w:t>
      </w:r>
      <w:r>
        <w:t xml:space="preserve"> </w:t>
      </w:r>
      <w:r>
        <w:t xml:space="preserve">does not include third-party costs, which the</w:t>
      </w:r>
      <w:r>
        <w:t xml:space="preserve"> </w:t>
      </w:r>
      <w:r>
        <w:t xml:space="preserve">Lawyer</w:t>
      </w:r>
      <w:r>
        <w:t xml:space="preserve"> </w:t>
      </w:r>
      <w:r>
        <w:t xml:space="preserve">will incur on the client's behalf. These may include: court filing fees as prescribed by the Israeli Courts Administration for the Jerusalem jurisdiction; service of process fees; expert witness fees; translation costs (Hebrew/Arabic/English); travel and accommodation expenses if proceedings extend beyond the Jerusalem metropolitan area; and any statutory fees payable to the Israel Bar Association or the Ministry of Justice. All such disbursements will be itemized and reimbursed at actual cost with supporting documentation.</w:t>
      </w:r>
    </w:p>
    <w:bookmarkEnd w:id="24"/>
    <w:bookmarkStart w:id="25" w:name="payment-terms"/>
    <w:p>
      <w:pPr>
        <w:pStyle w:val="Heading2"/>
      </w:pPr>
      <w:r>
        <w:t xml:space="preserve">5. Payment Terms</w:t>
      </w:r>
    </w:p>
    <w:p>
      <w:pPr>
        <w:pStyle w:val="FirstParagraph"/>
      </w:pPr>
      <w:r>
        <w:t xml:space="preserve">Payment for the legal services outlined in this</w:t>
      </w:r>
      <w:r>
        <w:t xml:space="preserve"> </w:t>
      </w:r>
      <w:r>
        <w:t xml:space="preserve">Quotation Estimate</w:t>
      </w:r>
      <w:r>
        <w:t xml:space="preserve"> </w:t>
      </w:r>
      <w:r>
        <w:t xml:space="preserve">shall be structured as follows: a non-refundable retainer of 25% of the estimated total professional fees is due upon execution of the engagement letter. The remaining balance shall be invoiced monthly in arrears, with payment due within fourteen (14) calendar days of invoice issuance. The success fee, where applicable, shall be payable within twenty-one (21) days of the final judgment or settlement becoming enforceable. All payments are to be made in New Israeli Shekels (ILS) via bank transfer to the account designated by the</w:t>
      </w:r>
      <w:r>
        <w:t xml:space="preserve"> </w:t>
      </w:r>
      <w:r>
        <w:t xml:space="preserve">Lawyer</w:t>
      </w:r>
      <w:r>
        <w:t xml:space="preserve"> </w:t>
      </w:r>
      <w:r>
        <w:t xml:space="preserve">in Jerusalem.</w:t>
      </w:r>
    </w:p>
    <w:bookmarkEnd w:id="25"/>
    <w:bookmarkStart w:id="26" w:name="terms-and-conditions"/>
    <w:p>
      <w:pPr>
        <w:pStyle w:val="Heading2"/>
      </w:pPr>
      <w:r>
        <w:t xml:space="preserve">6.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Upon expiration, the</w:t>
      </w:r>
      <w:r>
        <w:t xml:space="preserve"> </w:t>
      </w:r>
      <w:r>
        <w:t xml:space="preserve">Lawyer</w:t>
      </w:r>
      <w:r>
        <w:t xml:space="preserve"> </w:t>
      </w:r>
      <w:r>
        <w:t xml:space="preserve">reserves the right to revise fees to reflect current market rates in</w:t>
      </w:r>
      <w:r>
        <w:t xml:space="preserve"> </w:t>
      </w:r>
      <w:r>
        <w:t xml:space="preserve">Israel Jerusalem</w:t>
      </w:r>
      <w:r>
        <w:t xml:space="preserve">.</w:t>
      </w:r>
    </w:p>
    <w:p>
      <w:pPr>
        <w:numPr>
          <w:ilvl w:val="0"/>
          <w:numId w:val="1001"/>
        </w:numPr>
        <w:pStyle w:val="Compact"/>
      </w:pPr>
      <w:r>
        <w:t xml:space="preserve">The estimated hours provided are good-faith projections based on the</w:t>
      </w:r>
      <w:r>
        <w:t xml:space="preserve"> </w:t>
      </w:r>
      <w:r>
        <w:t xml:space="preserve">Lawyer</w:t>
      </w:r>
      <w:r>
        <w:t xml:space="preserve">'s professional experience. Actual hours may vary depending on the complexity of the matter, court scheduling in Jerusalem, and the conduct of opposing parties.</w:t>
      </w:r>
    </w:p>
    <w:p>
      <w:pPr>
        <w:numPr>
          <w:ilvl w:val="0"/>
          <w:numId w:val="1001"/>
        </w:numPr>
        <w:pStyle w:val="Compact"/>
      </w:pPr>
      <w:r>
        <w:t xml:space="preserve">The</w:t>
      </w:r>
      <w:r>
        <w:t xml:space="preserve"> </w:t>
      </w:r>
      <w:r>
        <w:t xml:space="preserve">Lawyer</w:t>
      </w:r>
      <w:r>
        <w:t xml:space="preserve"> </w:t>
      </w:r>
      <w:r>
        <w:t xml:space="preserve">shall provide the client with a written progress report at the conclusion of each calendar month of active engagement.</w:t>
      </w:r>
    </w:p>
    <w:p>
      <w:pPr>
        <w:numPr>
          <w:ilvl w:val="0"/>
          <w:numId w:val="1001"/>
        </w:numPr>
        <w:pStyle w:val="Compact"/>
      </w:pPr>
      <w:r>
        <w:t xml:space="preserve">Either party may terminate the engagement upon thirty (30) days' written notice. In such event, the client shall be liable for all fees accrued up to the date of termination, as detailed in this</w:t>
      </w:r>
      <w:r>
        <w:t xml:space="preserve"> </w:t>
      </w:r>
      <w:r>
        <w:t xml:space="preserve">Quotation Estimate</w:t>
      </w:r>
      <w:r>
        <w:t xml:space="preserve">.</w:t>
      </w:r>
    </w:p>
    <w:p>
      <w:pPr>
        <w:numPr>
          <w:ilvl w:val="0"/>
          <w:numId w:val="1001"/>
        </w:numPr>
        <w:pStyle w:val="Compact"/>
      </w:pPr>
      <w:r>
        <w:t xml:space="preserve">All communications, documents, and correspondence related to this engagement shall be governed by the Israeli Legal Profession Law, 5728-1968, and the Rules of Professional Conduct of the Israel Bar Association.</w:t>
      </w:r>
    </w:p>
    <w:p>
      <w:pPr>
        <w:numPr>
          <w:ilvl w:val="0"/>
          <w:numId w:val="1001"/>
        </w:numPr>
        <w:pStyle w:val="Compact"/>
      </w:pPr>
      <w:r>
        <w:t xml:space="preserve">This</w:t>
      </w:r>
      <w:r>
        <w:t xml:space="preserve"> </w:t>
      </w:r>
      <w:r>
        <w:t xml:space="preserve">Quotation Estimate</w:t>
      </w:r>
      <w:r>
        <w:t xml:space="preserve"> </w:t>
      </w:r>
      <w:r>
        <w:t xml:space="preserve">does not constitute a guarantee of any particular legal outcome. The</w:t>
      </w:r>
      <w:r>
        <w:t xml:space="preserve"> </w:t>
      </w:r>
      <w:r>
        <w:t xml:space="preserve">Lawyer</w:t>
      </w:r>
      <w:r>
        <w:t xml:space="preserve"> </w:t>
      </w:r>
      <w:r>
        <w:t xml:space="preserve">shall exercise the highest degree of professional diligence in representing the client's interests before all courts and tribunals in</w:t>
      </w:r>
      <w:r>
        <w:t xml:space="preserve"> </w:t>
      </w:r>
      <w:r>
        <w:t xml:space="preserve">Israel Jerusalem</w:t>
      </w:r>
      <w:r>
        <w:t xml:space="preserve">.</w:t>
      </w:r>
    </w:p>
    <w:p>
      <w:pPr>
        <w:numPr>
          <w:ilvl w:val="0"/>
          <w:numId w:val="1001"/>
        </w:numPr>
        <w:pStyle w:val="Compact"/>
      </w:pPr>
      <w:r>
        <w:t xml:space="preserve">Confidentiality: All information exchanged between the</w:t>
      </w:r>
      <w:r>
        <w:t xml:space="preserve"> </w:t>
      </w:r>
      <w:r>
        <w:t xml:space="preserve">Lawyer</w:t>
      </w:r>
      <w:r>
        <w:t xml:space="preserve"> </w:t>
      </w:r>
      <w:r>
        <w:t xml:space="preserve">and the client shall be treated as strictly confidential in accordance with Israeli attorney-client privilege law.</w:t>
      </w:r>
    </w:p>
    <w:p>
      <w:pPr>
        <w:pStyle w:val="FirstParagraph"/>
      </w:pPr>
      <w:r>
        <w:rPr>
          <w:bCs/>
          <w:b/>
        </w:rPr>
        <w:t xml:space="preserve">Important Note:</w:t>
      </w:r>
      <w:r>
        <w:t xml:space="preserve"> </w:t>
      </w:r>
      <w:r>
        <w:t xml:space="preserve">This Quotation Estimate is prepared specifically for legal proceedings within the jurisdiction of Israel Jerusalem. Should the matter require representation in courts outside the Jerusalem district (e.g., Tel Aviv District Court, Haifa District Court, or the Supreme Court of Israel in Jerusalem), additional travel and per diem fees will apply as per the Israel Bar Association's inter-district fee schedule. The Lawyer will provide a supplementary quotation prior to any such out-of-jurisdiction engagement.</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w:t>
      </w:r>
      <w:r>
        <w:t xml:space="preserve"> </w:t>
      </w:r>
      <w:r>
        <w:t xml:space="preserve">Quotation Estimate</w:t>
      </w:r>
      <w:r>
        <w:t xml:space="preserve">, confirms understanding of the fee structure proposed by the</w:t>
      </w:r>
      <w:r>
        <w:t xml:space="preserve"> </w:t>
      </w:r>
      <w:r>
        <w:t xml:space="preserve">Lawyer</w:t>
      </w:r>
      <w:r>
        <w:t xml:space="preserve">, and authorizes the commencement of legal services in</w:t>
      </w:r>
      <w:r>
        <w:t xml:space="preserve"> </w:t>
      </w:r>
      <w:r>
        <w:t xml:space="preserve">Israel Jerusalem</w:t>
      </w:r>
      <w:r>
        <w:t xml:space="preserve"> </w:t>
      </w:r>
      <w:r>
        <w:t xml:space="preserve">in accordance with the terms set forth herein. This document, once countersigned, shall form an integral part of the formal engagement agreement between the parties.</w:t>
      </w:r>
    </w:p>
    <w:p>
      <w:pPr>
        <w:pStyle w:val="BodyText"/>
      </w:pPr>
      <w:r>
        <w:t xml:space="preserve">For the Lawyer (Attorney at Law):</w:t>
      </w:r>
    </w:p>
    <w:p>
      <w:pPr>
        <w:pStyle w:val="BodyText"/>
      </w:pPr>
      <w:r>
        <w:t xml:space="preserve">Adv. Daniel Levi — License No. 52841</w:t>
      </w:r>
      <w:r>
        <w:br/>
      </w:r>
      <w:r>
        <w:t xml:space="preserve">Jerusalem, Israel — Date: _______________</w:t>
      </w:r>
    </w:p>
    <w:p>
      <w:pPr>
        <w:pStyle w:val="BodyText"/>
      </w:pPr>
      <w:r>
        <w:t xml:space="preserve">For the Client:</w:t>
      </w:r>
    </w:p>
    <w:p>
      <w:pPr>
        <w:pStyle w:val="BodyText"/>
      </w:pPr>
      <w:r>
        <w:t xml:space="preserve">Name: _______________________</w:t>
      </w:r>
      <w:r>
        <w:br/>
      </w:r>
      <w:r>
        <w:t xml:space="preserve">ID No.: _______________ — Date: _______________</w:t>
      </w:r>
    </w:p>
    <w:p>
      <w:pPr>
        <w:pStyle w:val="BodyText"/>
      </w:pPr>
      <w:r>
        <w:t xml:space="preserve">This Quotation Estimate was prepared by the office of Adv. Daniel Levi, Attorney at Law, Jerusalem, Israel. All legal services are subject to the regulations of the Israel Bar Association and the Courts Administration of Israel. This document is issued in two (2) original copies, one for each party. © 2025 —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Israel Jerusalem</dc:title>
  <dc:creator/>
  <dc:language>en</dc:language>
  <cp:keywords/>
  <dcterms:created xsi:type="dcterms:W3CDTF">2026-10-10T06:42:25Z</dcterms:created>
  <dcterms:modified xsi:type="dcterms:W3CDTF">2026-10-10T06:42:25Z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