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Tel</w:t>
      </w:r>
      <w:r>
        <w:t xml:space="preserve"> </w:t>
      </w:r>
      <w:r>
        <w:t xml:space="preserve">Aviv,</w:t>
      </w:r>
      <w:r>
        <w:t xml:space="preserve"> </w:t>
      </w:r>
      <w:r>
        <w:t xml:space="preserve">Israel</w:t>
      </w:r>
    </w:p>
    <w:bookmarkStart w:id="20" w:name="quotation-estimate"/>
    <w:p>
      <w:pPr>
        <w:pStyle w:val="Heading1"/>
      </w:pPr>
      <w:r>
        <w:t xml:space="preserve">QUOTATION ESTIMATE</w:t>
      </w:r>
    </w:p>
    <w:p>
      <w:pPr>
        <w:pStyle w:val="FirstParagraph"/>
      </w:pPr>
      <w:r>
        <w:t xml:space="preserve">Professional Legal Services — Attorney at Law</w:t>
      </w:r>
    </w:p>
    <w:p>
      <w:pPr>
        <w:pStyle w:val="BodyText"/>
      </w:pPr>
      <w:r>
        <w:t xml:space="preserve">Document Reference No. QTE-2025-TLV-0472</w:t>
      </w:r>
    </w:p>
    <w:bookmarkEnd w:id="20"/>
    <w:p>
      <w:pPr>
        <w:pStyle w:val="BodyText"/>
      </w:pPr>
      <w:r>
        <w:rPr>
          <w:bCs/>
          <w:b/>
        </w:rPr>
        <w:t xml:space="preserve">Levi &amp; Associates Law Firm</w:t>
      </w:r>
      <w:r>
        <w:br/>
      </w:r>
      <w:r>
        <w:t xml:space="preserve">42 Dizengoff Street, Floor 7</w:t>
      </w:r>
      <w:r>
        <w:br/>
      </w:r>
      <w:r>
        <w:t xml:space="preserve">Tel Aviv, 6321001, Israel</w:t>
      </w:r>
      <w:r>
        <w:br/>
      </w:r>
      <w:r>
        <w:t xml:space="preserve">Tel: +972-3-621-4488</w:t>
      </w:r>
      <w:r>
        <w:br/>
      </w:r>
      <w:r>
        <w:t xml:space="preserve">Email: info@levi-law.co.il</w:t>
      </w:r>
      <w:r>
        <w:br/>
      </w:r>
      <w:r>
        <w:t xml:space="preserve">Bar Registration No. 52841</w:t>
      </w:r>
    </w:p>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Israeli New Shekel (ILS)</w:t>
      </w:r>
      <w:r>
        <w:br/>
      </w:r>
      <w:r>
        <w:rPr>
          <w:bCs/>
          <w:b/>
        </w:rPr>
        <w:t xml:space="preserve">Prepared By:</w:t>
      </w:r>
      <w:r>
        <w:t xml:space="preserve"> </w:t>
      </w:r>
      <w:r>
        <w:t xml:space="preserve">Adv. Daniel Levi</w:t>
      </w:r>
    </w:p>
    <w:p>
      <w:pPr>
        <w:pStyle w:val="BodyText"/>
      </w:pPr>
      <w:r>
        <w:rPr>
          <w:bCs/>
          <w:b/>
        </w:rPr>
        <w:t xml:space="preserve">Prepared For:</w:t>
      </w:r>
      <w:r>
        <w:br/>
      </w:r>
      <w:r>
        <w:t xml:space="preserve">Ms. Rachel Ben-David</w:t>
      </w:r>
      <w:r>
        <w:br/>
      </w:r>
      <w:r>
        <w:t xml:space="preserve">18 Yigal Alon Avenue, Apt. 12B</w:t>
      </w:r>
      <w:r>
        <w:br/>
      </w:r>
      <w:r>
        <w:t xml:space="preserve">Tel Aviv, 6777501, Israel</w:t>
      </w:r>
      <w:r>
        <w:br/>
      </w:r>
      <w:r>
        <w:t xml:space="preserve">ID No.: 012-345-678</w:t>
      </w:r>
      <w:r>
        <w:br/>
      </w:r>
      <w:r>
        <w:t xml:space="preserve">Phone: +972-52-774-9921</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Levi &amp; Associates Law Firm, a licensed legal practice operating in Tel Aviv, Israel, to provide Ms. Rachel Ben-David with a comprehensive and transparent breakdown of the anticipated legal fees, costs, and expenses associated with the engagement of our</w:t>
      </w:r>
      <w:r>
        <w:t xml:space="preserve"> </w:t>
      </w:r>
      <w:r>
        <w:t xml:space="preserve">Lawyer</w:t>
      </w:r>
      <w:r>
        <w:t xml:space="preserve"> </w:t>
      </w:r>
      <w:r>
        <w:t xml:space="preserve">services. This document serves as a formal estimate of the professional legal work to be performed in accordance with the Israeli Legal Profession Law, 5728-1968, and the Attorney's Fee Regulations. The</w:t>
      </w:r>
      <w:r>
        <w:t xml:space="preserve"> </w:t>
      </w:r>
      <w:r>
        <w:t xml:space="preserve">Lawyer</w:t>
      </w:r>
      <w:r>
        <w:t xml:space="preserve"> </w:t>
      </w:r>
      <w:r>
        <w:t xml:space="preserve">designated to handle this matter is Adv. Daniel Levi, a senior partner with over twenty-two years of experience in civil litigation, contract law, and commercial disputes within the jurisdiction of Tel Aviv, Israel.</w:t>
      </w:r>
    </w:p>
    <w:bookmarkEnd w:id="21"/>
    <w:bookmarkStart w:id="22" w:name="scope-of-legal-services"/>
    <w:p>
      <w:pPr>
        <w:pStyle w:val="Heading2"/>
      </w:pPr>
      <w:r>
        <w:t xml:space="preserve">2. Scope of Legal Services</w:t>
      </w:r>
    </w:p>
    <w:p>
      <w:pPr>
        <w:pStyle w:val="FirstParagraph"/>
      </w:pPr>
      <w:r>
        <w:t xml:space="preserve">The</w:t>
      </w:r>
      <w:r>
        <w:t xml:space="preserve"> </w:t>
      </w:r>
      <w:r>
        <w:t xml:space="preserve">Lawyer</w:t>
      </w:r>
      <w:r>
        <w:t xml:space="preserve"> </w:t>
      </w:r>
      <w:r>
        <w:t xml:space="preserve">engaged under this</w:t>
      </w:r>
      <w:r>
        <w:t xml:space="preserve"> </w:t>
      </w:r>
      <w:r>
        <w:t xml:space="preserve">Quotation Estimate</w:t>
      </w:r>
      <w:r>
        <w:t xml:space="preserve"> </w:t>
      </w:r>
      <w:r>
        <w:t xml:space="preserve">shall provide the following professional services in Tel Aviv, Israel:</w:t>
      </w:r>
    </w:p>
    <w:p>
      <w:pPr>
        <w:numPr>
          <w:ilvl w:val="0"/>
          <w:numId w:val="1001"/>
        </w:numPr>
        <w:pStyle w:val="Compact"/>
      </w:pPr>
      <w:r>
        <w:t xml:space="preserve">Comprehensive legal consultation and case assessment regarding a commercial lease dispute involving a property located in the Florentin district of Tel Aviv.</w:t>
      </w:r>
    </w:p>
    <w:p>
      <w:pPr>
        <w:numPr>
          <w:ilvl w:val="0"/>
          <w:numId w:val="1001"/>
        </w:numPr>
        <w:pStyle w:val="Compact"/>
      </w:pPr>
      <w:r>
        <w:t xml:space="preserve">Preparation, review, and filing of all necessary legal pleadings, motions, and correspondence with the Tel Aviv District Court and the Tel Aviv Magistrates' Court.</w:t>
      </w:r>
    </w:p>
    <w:p>
      <w:pPr>
        <w:numPr>
          <w:ilvl w:val="0"/>
          <w:numId w:val="1001"/>
        </w:numPr>
        <w:pStyle w:val="Compact"/>
      </w:pPr>
      <w:r>
        <w:t xml:space="preserve">Representation of the client in no fewer than four (4) court hearings, including preliminary hearings, evidentiary sessions, and the final judgment hearing.</w:t>
      </w:r>
    </w:p>
    <w:p>
      <w:pPr>
        <w:numPr>
          <w:ilvl w:val="0"/>
          <w:numId w:val="1001"/>
        </w:numPr>
        <w:pStyle w:val="Compact"/>
      </w:pPr>
      <w:r>
        <w:t xml:space="preserve">Negotiation of a settlement agreement with the opposing party, including the drafting and execution of all settlement terms.</w:t>
      </w:r>
    </w:p>
    <w:p>
      <w:pPr>
        <w:numPr>
          <w:ilvl w:val="0"/>
          <w:numId w:val="1001"/>
        </w:numPr>
        <w:pStyle w:val="Compact"/>
      </w:pPr>
      <w:r>
        <w:t xml:space="preserve">Coordination with a certified real estate appraiser and a forensic accounting firm to support the client's financial claims.</w:t>
      </w:r>
    </w:p>
    <w:p>
      <w:pPr>
        <w:numPr>
          <w:ilvl w:val="0"/>
          <w:numId w:val="1001"/>
        </w:numPr>
        <w:pStyle w:val="Compact"/>
      </w:pPr>
      <w:r>
        <w:t xml:space="preserve">Post-judgment enforcement proceedings, if applicable, before the Israeli Enforcement Authority (Mishmar HaHatzala) in Tel Aviv.</w:t>
      </w:r>
    </w:p>
    <w:p>
      <w:pPr>
        <w:numPr>
          <w:ilvl w:val="0"/>
          <w:numId w:val="1001"/>
        </w:numPr>
        <w:pStyle w:val="Compact"/>
      </w:pPr>
      <w:r>
        <w:t xml:space="preserve">General legal advice and written opinions on matters directly related to the dispute, limited to a maximum of six (6) written responses during the engagement period.</w:t>
      </w:r>
    </w:p>
    <w:bookmarkEnd w:id="22"/>
    <w:bookmarkStart w:id="23" w:name="fee-structure-and-cost-breakdown"/>
    <w:p>
      <w:pPr>
        <w:pStyle w:val="Heading2"/>
      </w:pPr>
      <w:r>
        <w:t xml:space="preserve">3. Fee Structure and Cost Breakdown</w:t>
      </w:r>
    </w:p>
    <w:p>
      <w:pPr>
        <w:pStyle w:val="FirstParagraph"/>
      </w:pPr>
      <w:r>
        <w:t xml:space="preserve">The following</w:t>
      </w:r>
      <w:r>
        <w:t xml:space="preserve"> </w:t>
      </w:r>
      <w:r>
        <w:t xml:space="preserve">Quotation Estimate</w:t>
      </w:r>
      <w:r>
        <w:t xml:space="preserve"> </w:t>
      </w:r>
      <w:r>
        <w:t xml:space="preserve">outlines the anticipated fees for the</w:t>
      </w:r>
      <w:r>
        <w:t xml:space="preserve"> </w:t>
      </w:r>
      <w:r>
        <w:t xml:space="preserve">Lawyer</w:t>
      </w:r>
      <w:r>
        <w:t xml:space="preserve">'s professional services. All amounts are denominated in Israeli New Shekels (ILS) and are subject to the applicable Value Added Tax (VAT) at the current rate of 18%, as mandated by the Israeli VAT Law, 5711-1975.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Estimated Hours</w:t>
            </w:r>
          </w:p>
        </w:tc>
        <w:tc>
          <w:tcPr/>
          <w:p>
            <w:pPr>
              <w:pStyle w:val="Compact"/>
              <w:jc w:val="left"/>
            </w:pPr>
            <w:r>
              <w:t xml:space="preserve">Hourly Rate (ILS)</w:t>
            </w:r>
          </w:p>
        </w:tc>
        <w:tc>
          <w:tcPr/>
          <w:p>
            <w:pPr>
              <w:pStyle w:val="Compact"/>
              <w:jc w:val="left"/>
            </w:pPr>
            <w:r>
              <w:t xml:space="preserve">Estimated Cost (ILS)</w:t>
            </w:r>
          </w:p>
        </w:tc>
      </w:tr>
      <w:tr>
        <w:tc>
          <w:tcPr/>
          <w:p>
            <w:pPr>
              <w:pStyle w:val="Compact"/>
              <w:jc w:val="left"/>
            </w:pPr>
            <w:r>
              <w:t xml:space="preserve">1</w:t>
            </w:r>
          </w:p>
        </w:tc>
        <w:tc>
          <w:tcPr/>
          <w:p>
            <w:pPr>
              <w:pStyle w:val="Compact"/>
              <w:jc w:val="left"/>
            </w:pPr>
            <w:r>
              <w:t xml:space="preserve">Initial consultation and case file review</w:t>
            </w:r>
          </w:p>
        </w:tc>
        <w:tc>
          <w:tcPr/>
          <w:p>
            <w:pPr>
              <w:pStyle w:val="Compact"/>
              <w:jc w:val="left"/>
            </w:pPr>
            <w:r>
              <w:t xml:space="preserve">3</w:t>
            </w:r>
          </w:p>
        </w:tc>
        <w:tc>
          <w:tcPr/>
          <w:p>
            <w:pPr>
              <w:pStyle w:val="Compact"/>
              <w:jc w:val="left"/>
            </w:pPr>
            <w:r>
              <w:t xml:space="preserve">1,200</w:t>
            </w:r>
          </w:p>
        </w:tc>
        <w:tc>
          <w:tcPr/>
          <w:p>
            <w:pPr>
              <w:pStyle w:val="Compact"/>
              <w:jc w:val="left"/>
            </w:pPr>
            <w:r>
              <w:t xml:space="preserve">3,600</w:t>
            </w:r>
          </w:p>
        </w:tc>
      </w:tr>
      <w:tr>
        <w:tc>
          <w:tcPr/>
          <w:p>
            <w:pPr>
              <w:pStyle w:val="Compact"/>
              <w:jc w:val="left"/>
            </w:pPr>
            <w:r>
              <w:t xml:space="preserve">2</w:t>
            </w:r>
          </w:p>
        </w:tc>
        <w:tc>
          <w:tcPr/>
          <w:p>
            <w:pPr>
              <w:pStyle w:val="Compact"/>
              <w:jc w:val="left"/>
            </w:pPr>
            <w:r>
              <w:t xml:space="preserve">Drafting and filing of Statement of Claim</w:t>
            </w:r>
          </w:p>
        </w:tc>
        <w:tc>
          <w:tcPr/>
          <w:p>
            <w:pPr>
              <w:pStyle w:val="Compact"/>
              <w:jc w:val="left"/>
            </w:pPr>
            <w:r>
              <w:t xml:space="preserve">8</w:t>
            </w:r>
          </w:p>
        </w:tc>
        <w:tc>
          <w:tcPr/>
          <w:p>
            <w:pPr>
              <w:pStyle w:val="Compact"/>
              <w:jc w:val="left"/>
            </w:pPr>
            <w:r>
              <w:t xml:space="preserve">1,200</w:t>
            </w:r>
          </w:p>
        </w:tc>
        <w:tc>
          <w:tcPr/>
          <w:p>
            <w:pPr>
              <w:pStyle w:val="Compact"/>
              <w:jc w:val="left"/>
            </w:pPr>
            <w:r>
              <w:t xml:space="preserve">9,600</w:t>
            </w:r>
          </w:p>
        </w:tc>
      </w:tr>
      <w:tr>
        <w:tc>
          <w:tcPr/>
          <w:p>
            <w:pPr>
              <w:pStyle w:val="Compact"/>
              <w:jc w:val="left"/>
            </w:pPr>
            <w:r>
              <w:t xml:space="preserve">3</w:t>
            </w:r>
          </w:p>
        </w:tc>
        <w:tc>
          <w:tcPr/>
          <w:p>
            <w:pPr>
              <w:pStyle w:val="Compact"/>
              <w:jc w:val="left"/>
            </w:pPr>
            <w:r>
              <w:t xml:space="preserve">Court appearances and hearings (4 sessions)</w:t>
            </w:r>
          </w:p>
        </w:tc>
        <w:tc>
          <w:tcPr/>
          <w:p>
            <w:pPr>
              <w:pStyle w:val="Compact"/>
              <w:jc w:val="left"/>
            </w:pPr>
            <w:r>
              <w:t xml:space="preserve">16</w:t>
            </w:r>
          </w:p>
        </w:tc>
        <w:tc>
          <w:tcPr/>
          <w:p>
            <w:pPr>
              <w:pStyle w:val="Compact"/>
              <w:jc w:val="left"/>
            </w:pPr>
            <w:r>
              <w:t xml:space="preserve">1,400</w:t>
            </w:r>
          </w:p>
        </w:tc>
        <w:tc>
          <w:tcPr/>
          <w:p>
            <w:pPr>
              <w:pStyle w:val="Compact"/>
              <w:jc w:val="left"/>
            </w:pPr>
            <w:r>
              <w:t xml:space="preserve">22,400</w:t>
            </w:r>
          </w:p>
        </w:tc>
      </w:tr>
      <w:tr>
        <w:tc>
          <w:tcPr/>
          <w:p>
            <w:pPr>
              <w:pStyle w:val="Compact"/>
              <w:jc w:val="left"/>
            </w:pPr>
            <w:r>
              <w:t xml:space="preserve">4</w:t>
            </w:r>
          </w:p>
        </w:tc>
        <w:tc>
          <w:tcPr/>
          <w:p>
            <w:pPr>
              <w:pStyle w:val="Compact"/>
              <w:jc w:val="left"/>
            </w:pPr>
            <w:r>
              <w:t xml:space="preserve">Settlement negotiation and agreement drafting</w:t>
            </w:r>
          </w:p>
        </w:tc>
        <w:tc>
          <w:tcPr/>
          <w:p>
            <w:pPr>
              <w:pStyle w:val="Compact"/>
              <w:jc w:val="left"/>
            </w:pPr>
            <w:r>
              <w:t xml:space="preserve">6</w:t>
            </w:r>
          </w:p>
        </w:tc>
        <w:tc>
          <w:tcPr/>
          <w:p>
            <w:pPr>
              <w:pStyle w:val="Compact"/>
              <w:jc w:val="left"/>
            </w:pPr>
            <w:r>
              <w:t xml:space="preserve">1,200</w:t>
            </w:r>
          </w:p>
        </w:tc>
        <w:tc>
          <w:tcPr/>
          <w:p>
            <w:pPr>
              <w:pStyle w:val="Compact"/>
              <w:jc w:val="left"/>
            </w:pPr>
            <w:r>
              <w:t xml:space="preserve">7,200</w:t>
            </w:r>
          </w:p>
        </w:tc>
      </w:tr>
      <w:tr>
        <w:tc>
          <w:tcPr/>
          <w:p>
            <w:pPr>
              <w:pStyle w:val="Compact"/>
              <w:jc w:val="left"/>
            </w:pPr>
            <w:r>
              <w:t xml:space="preserve">5</w:t>
            </w:r>
          </w:p>
        </w:tc>
        <w:tc>
          <w:tcPr/>
          <w:p>
            <w:pPr>
              <w:pStyle w:val="Compact"/>
              <w:jc w:val="left"/>
            </w:pPr>
            <w:r>
              <w:t xml:space="preserve">Coordination with expert witnesses and appraisers</w:t>
            </w:r>
          </w:p>
        </w:tc>
        <w:tc>
          <w:tcPr/>
          <w:p>
            <w:pPr>
              <w:pStyle w:val="Compact"/>
              <w:jc w:val="left"/>
            </w:pPr>
            <w:r>
              <w:t xml:space="preserve">4</w:t>
            </w:r>
          </w:p>
        </w:tc>
        <w:tc>
          <w:tcPr/>
          <w:p>
            <w:pPr>
              <w:pStyle w:val="Compact"/>
              <w:jc w:val="left"/>
            </w:pPr>
            <w:r>
              <w:t xml:space="preserve">1,200</w:t>
            </w:r>
          </w:p>
        </w:tc>
        <w:tc>
          <w:tcPr/>
          <w:p>
            <w:pPr>
              <w:pStyle w:val="Compact"/>
              <w:jc w:val="left"/>
            </w:pPr>
            <w:r>
              <w:t xml:space="preserve">4,800</w:t>
            </w:r>
          </w:p>
        </w:tc>
      </w:tr>
      <w:tr>
        <w:tc>
          <w:tcPr/>
          <w:p>
            <w:pPr>
              <w:pStyle w:val="Compact"/>
              <w:jc w:val="left"/>
            </w:pPr>
            <w:r>
              <w:t xml:space="preserve">6</w:t>
            </w:r>
          </w:p>
        </w:tc>
        <w:tc>
          <w:tcPr/>
          <w:p>
            <w:pPr>
              <w:pStyle w:val="Compact"/>
              <w:jc w:val="left"/>
            </w:pPr>
            <w:r>
              <w:t xml:space="preserve">Post-judgment enforcement (contingent)</w:t>
            </w:r>
          </w:p>
        </w:tc>
        <w:tc>
          <w:tcPr/>
          <w:p>
            <w:pPr>
              <w:pStyle w:val="Compact"/>
              <w:jc w:val="left"/>
            </w:pPr>
            <w:r>
              <w:t xml:space="preserve">5</w:t>
            </w:r>
          </w:p>
        </w:tc>
        <w:tc>
          <w:tcPr/>
          <w:p>
            <w:pPr>
              <w:pStyle w:val="Compact"/>
              <w:jc w:val="left"/>
            </w:pPr>
            <w:r>
              <w:t xml:space="preserve">1,200</w:t>
            </w:r>
          </w:p>
        </w:tc>
        <w:tc>
          <w:tcPr/>
          <w:p>
            <w:pPr>
              <w:pStyle w:val="Compact"/>
              <w:jc w:val="left"/>
            </w:pPr>
            <w:r>
              <w:t xml:space="preserve">6,000</w:t>
            </w:r>
          </w:p>
        </w:tc>
      </w:tr>
      <w:tr>
        <w:tc>
          <w:tcPr/>
          <w:p>
            <w:pPr>
              <w:pStyle w:val="Compact"/>
              <w:jc w:val="left"/>
            </w:pPr>
            <w:r>
              <w:t xml:space="preserve">7</w:t>
            </w:r>
          </w:p>
        </w:tc>
        <w:tc>
          <w:tcPr/>
          <w:p>
            <w:pPr>
              <w:pStyle w:val="Compact"/>
              <w:jc w:val="left"/>
            </w:pPr>
            <w:r>
              <w:t xml:space="preserve">Written legal opinions and advisory correspondence</w:t>
            </w:r>
          </w:p>
        </w:tc>
        <w:tc>
          <w:tcPr/>
          <w:p>
            <w:pPr>
              <w:pStyle w:val="Compact"/>
              <w:jc w:val="left"/>
            </w:pPr>
            <w:r>
              <w:t xml:space="preserve">4</w:t>
            </w:r>
          </w:p>
        </w:tc>
        <w:tc>
          <w:tcPr/>
          <w:p>
            <w:pPr>
              <w:pStyle w:val="Compact"/>
              <w:jc w:val="left"/>
            </w:pPr>
            <w:r>
              <w:t xml:space="preserve">1,000</w:t>
            </w:r>
          </w:p>
        </w:tc>
        <w:tc>
          <w:tcPr/>
          <w:p>
            <w:pPr>
              <w:pStyle w:val="Compact"/>
              <w:jc w:val="left"/>
            </w:pPr>
            <w:r>
              <w:t xml:space="preserve">4,000</w:t>
            </w:r>
          </w:p>
        </w:tc>
      </w:tr>
      <w:tr>
        <w:tc>
          <w:tcPr/>
          <w:p>
            <w:pPr>
              <w:pStyle w:val="Compact"/>
              <w:jc w:val="left"/>
            </w:pPr>
            <w:r>
              <w:t xml:space="preserve">8</w:t>
            </w:r>
          </w:p>
        </w:tc>
        <w:tc>
          <w:tcPr/>
          <w:p>
            <w:pPr>
              <w:pStyle w:val="Compact"/>
              <w:jc w:val="left"/>
            </w:pPr>
            <w:r>
              <w:t xml:space="preserve">Court filing fees and administrative costs</w:t>
            </w:r>
          </w:p>
        </w:tc>
        <w:tc>
          <w:tcPr/>
          <w:p>
            <w:pPr>
              <w:pStyle w:val="Compact"/>
              <w:jc w:val="left"/>
            </w:pPr>
            <w:r>
              <w:t xml:space="preserve">—</w:t>
            </w:r>
          </w:p>
        </w:tc>
        <w:tc>
          <w:tcPr/>
          <w:p>
            <w:pPr>
              <w:pStyle w:val="Compact"/>
              <w:jc w:val="left"/>
            </w:pPr>
            <w:r>
              <w:t xml:space="preserve">—</w:t>
            </w:r>
          </w:p>
        </w:tc>
        <w:tc>
          <w:tcPr/>
          <w:p>
            <w:pPr>
              <w:pStyle w:val="Compact"/>
              <w:jc w:val="left"/>
            </w:pPr>
            <w:r>
              <w:t xml:space="preserve">3,500</w:t>
            </w:r>
          </w:p>
        </w:tc>
      </w:tr>
      <w:tr>
        <w:tc>
          <w:tcPr/>
          <w:p>
            <w:pPr>
              <w:pStyle w:val="Compact"/>
              <w:jc w:val="left"/>
            </w:pPr>
            <w:r>
              <w:t xml:space="preserve">9</w:t>
            </w:r>
          </w:p>
        </w:tc>
        <w:tc>
          <w:tcPr/>
          <w:p>
            <w:pPr>
              <w:pStyle w:val="Compact"/>
              <w:jc w:val="left"/>
            </w:pPr>
            <w:r>
              <w:t xml:space="preserve">Expert witness and appraiser fees (third-party)</w:t>
            </w:r>
          </w:p>
        </w:tc>
        <w:tc>
          <w:tcPr/>
          <w:p>
            <w:pPr>
              <w:pStyle w:val="Compact"/>
              <w:jc w:val="left"/>
            </w:pPr>
            <w:r>
              <w:t xml:space="preserve">—</w:t>
            </w:r>
          </w:p>
        </w:tc>
        <w:tc>
          <w:tcPr/>
          <w:p>
            <w:pPr>
              <w:pStyle w:val="Compact"/>
              <w:jc w:val="left"/>
            </w:pPr>
            <w:r>
              <w:t xml:space="preserve">—</w:t>
            </w:r>
          </w:p>
        </w:tc>
        <w:tc>
          <w:tcPr/>
          <w:p>
            <w:pPr>
              <w:pStyle w:val="Compact"/>
              <w:jc w:val="left"/>
            </w:pPr>
            <w:r>
              <w:t xml:space="preserve">12,000</w:t>
            </w:r>
          </w:p>
        </w:tc>
      </w:tr>
      <w:tr>
        <w:tc>
          <w:tcPr>
            <w:gridSpan w:val="4"/>
          </w:tcPr>
          <w:p>
            <w:pPr>
              <w:pStyle w:val="Compact"/>
              <w:jc w:val="left"/>
            </w:pPr>
            <w:r>
              <w:t xml:space="preserve">Subtotal (before VAT)</w:t>
            </w:r>
          </w:p>
        </w:tc>
        <w:tc>
          <w:tcPr/>
          <w:p>
            <w:pPr>
              <w:pStyle w:val="Compact"/>
              <w:jc w:val="left"/>
            </w:pPr>
            <w:r>
              <w:t xml:space="preserve">73,100</w:t>
            </w:r>
          </w:p>
        </w:tc>
      </w:tr>
      <w:tr>
        <w:tc>
          <w:tcPr>
            <w:gridSpan w:val="4"/>
          </w:tcPr>
          <w:p>
            <w:pPr>
              <w:pStyle w:val="Compact"/>
              <w:jc w:val="left"/>
            </w:pPr>
            <w:r>
              <w:t xml:space="preserve">VAT (18%)</w:t>
            </w:r>
          </w:p>
        </w:tc>
        <w:tc>
          <w:tcPr/>
          <w:p>
            <w:pPr>
              <w:pStyle w:val="Compact"/>
              <w:jc w:val="left"/>
            </w:pPr>
            <w:r>
              <w:t xml:space="preserve">13,158</w:t>
            </w:r>
          </w:p>
        </w:tc>
      </w:tr>
      <w:tr>
        <w:tc>
          <w:tcPr>
            <w:gridSpan w:val="4"/>
          </w:tcPr>
          <w:p>
            <w:pPr>
              <w:pStyle w:val="Compact"/>
              <w:jc w:val="left"/>
            </w:pPr>
            <w:r>
              <w:t xml:space="preserve">Total Estimated Cost (including VAT)</w:t>
            </w:r>
          </w:p>
        </w:tc>
        <w:tc>
          <w:tcPr/>
          <w:p>
            <w:pPr>
              <w:pStyle w:val="Compact"/>
              <w:jc w:val="left"/>
            </w:pPr>
            <w:r>
              <w:t xml:space="preserve">86,258</w:t>
            </w:r>
          </w:p>
        </w:tc>
      </w:tr>
    </w:tbl>
    <w:bookmarkEnd w:id="23"/>
    <w:bookmarkStart w:id="24" w:name="payment-terms-and-schedule"/>
    <w:p>
      <w:pPr>
        <w:pStyle w:val="Heading2"/>
      </w:pPr>
      <w:r>
        <w:t xml:space="preserve">4. Payment Terms and Schedule</w:t>
      </w:r>
    </w:p>
    <w:p>
      <w:pPr>
        <w:pStyle w:val="FirstParagraph"/>
      </w:pPr>
      <w:r>
        <w:t xml:space="preserve">In accordance with the terms set forth in this</w:t>
      </w:r>
      <w:r>
        <w:t xml:space="preserve"> </w:t>
      </w:r>
      <w:r>
        <w:t xml:space="preserve">Quotation Estimate</w:t>
      </w:r>
      <w:r>
        <w:t xml:space="preserve">, the client agrees to the following payment schedule for the</w:t>
      </w:r>
      <w:r>
        <w:t xml:space="preserve"> </w:t>
      </w:r>
      <w:r>
        <w:t xml:space="preserve">Lawyer</w:t>
      </w:r>
      <w:r>
        <w:t xml:space="preserve">'s services:</w:t>
      </w:r>
    </w:p>
    <w:p>
      <w:pPr>
        <w:numPr>
          <w:ilvl w:val="0"/>
          <w:numId w:val="1002"/>
        </w:numPr>
        <w:pStyle w:val="Compact"/>
      </w:pPr>
      <w:r>
        <w:rPr>
          <w:bCs/>
          <w:b/>
        </w:rPr>
        <w:t xml:space="preserve">Retainer Fee:</w:t>
      </w:r>
      <w:r>
        <w:t xml:space="preserve"> </w:t>
      </w:r>
      <w:r>
        <w:t xml:space="preserve">A non-refundable retainer of ILS 15,000 (including VAT) shall be paid upon execution of the engagement letter. This amount shall be credited against the final invoice.</w:t>
      </w:r>
    </w:p>
    <w:p>
      <w:pPr>
        <w:numPr>
          <w:ilvl w:val="0"/>
          <w:numId w:val="1002"/>
        </w:numPr>
        <w:pStyle w:val="Compact"/>
      </w:pPr>
      <w:r>
        <w:rPr>
          <w:bCs/>
          <w:b/>
        </w:rPr>
        <w:t xml:space="preserve">Progress Payments:</w:t>
      </w:r>
      <w:r>
        <w:t xml:space="preserve"> </w:t>
      </w:r>
      <w:r>
        <w:t xml:space="preserve">Monthly invoices shall be issued on the last business day of each calendar month for services rendered. Payment is due within fourteen (14) calendar days of the invoice date via bank transfer to the firm's account at Bank Leumi, Tel Aviv branch.</w:t>
      </w:r>
    </w:p>
    <w:p>
      <w:pPr>
        <w:numPr>
          <w:ilvl w:val="0"/>
          <w:numId w:val="1002"/>
        </w:numPr>
        <w:pStyle w:val="Compact"/>
      </w:pPr>
      <w:r>
        <w:rPr>
          <w:bCs/>
          <w:b/>
        </w:rPr>
        <w:t xml:space="preserve">Final Settlement:</w:t>
      </w:r>
      <w:r>
        <w:t xml:space="preserve"> </w:t>
      </w:r>
      <w:r>
        <w:t xml:space="preserve">The balance of all fees and costs shall be settled within thirty (30) days following the conclusion of the matter, whether by judgment, settlement, or withdrawal.</w:t>
      </w:r>
    </w:p>
    <w:p>
      <w:pPr>
        <w:numPr>
          <w:ilvl w:val="0"/>
          <w:numId w:val="1002"/>
        </w:numPr>
        <w:pStyle w:val="Compact"/>
      </w:pPr>
      <w:r>
        <w:rPr>
          <w:bCs/>
          <w:b/>
        </w:rPr>
        <w:t xml:space="preserve">Third-Party Costs:</w:t>
      </w:r>
      <w:r>
        <w:t xml:space="preserve"> </w:t>
      </w:r>
      <w:r>
        <w:t xml:space="preserve">Court fees, expert witness fees, and other third-party expenses shall be reimbursed by the client upon presentation of official receipts, in addition to the</w:t>
      </w:r>
      <w:r>
        <w:t xml:space="preserve"> </w:t>
      </w:r>
      <w:r>
        <w:t xml:space="preserve">Lawyer</w:t>
      </w:r>
      <w:r>
        <w:t xml:space="preserve">'s professional fees.</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thirty (30) days from the date of issue. Beyond this period, fees and rates may be subject to revision based on prevailing market conditions in Tel Aviv, Israel.</w:t>
      </w:r>
    </w:p>
    <w:p>
      <w:pPr>
        <w:numPr>
          <w:ilvl w:val="0"/>
          <w:numId w:val="1003"/>
        </w:numPr>
        <w:pStyle w:val="Compact"/>
      </w:pPr>
      <w:r>
        <w:t xml:space="preserve">The estimated costs outlined herein are good-faith projections based on the current scope of work. The</w:t>
      </w:r>
      <w:r>
        <w:t xml:space="preserve"> </w:t>
      </w:r>
      <w:r>
        <w:t xml:space="preserve">Lawyer</w:t>
      </w:r>
      <w:r>
        <w:t xml:space="preserve"> </w:t>
      </w:r>
      <w:r>
        <w:t xml:space="preserve">reserves the right to adjust the estimate in the event of material changes to the scope, including but not limited to appeals, additional hearings, or unforeseen procedural complications.</w:t>
      </w:r>
    </w:p>
    <w:p>
      <w:pPr>
        <w:numPr>
          <w:ilvl w:val="0"/>
          <w:numId w:val="1003"/>
        </w:numPr>
        <w:pStyle w:val="Compact"/>
      </w:pPr>
      <w:r>
        <w:t xml:space="preserve">The</w:t>
      </w:r>
      <w:r>
        <w:t xml:space="preserve"> </w:t>
      </w:r>
      <w:r>
        <w:t xml:space="preserve">Lawyer</w:t>
      </w:r>
      <w:r>
        <w:t xml:space="preserve"> </w:t>
      </w:r>
      <w:r>
        <w:t xml:space="preserve">shall provide the client with a written progress report at the conclusion of each court hearing and upon the completion of each major milestone in the case.</w:t>
      </w:r>
    </w:p>
    <w:p>
      <w:pPr>
        <w:numPr>
          <w:ilvl w:val="0"/>
          <w:numId w:val="1003"/>
        </w:numPr>
        <w:pStyle w:val="Compact"/>
      </w:pPr>
      <w:r>
        <w:t xml:space="preserve">All communications between the client and the</w:t>
      </w:r>
      <w:r>
        <w:t xml:space="preserve"> </w:t>
      </w:r>
      <w:r>
        <w:t xml:space="preserve">Lawyer</w:t>
      </w:r>
      <w:r>
        <w:t xml:space="preserve"> </w:t>
      </w:r>
      <w:r>
        <w:t xml:space="preserve">are protected by attorney-client privilege under Israeli law. The firm shall maintain strict confidentiality in accordance with the Israeli Privacy Protection Law, 5741-1981.</w:t>
      </w:r>
    </w:p>
    <w:p>
      <w:pPr>
        <w:numPr>
          <w:ilvl w:val="0"/>
          <w:numId w:val="1003"/>
        </w:numPr>
        <w:pStyle w:val="Compact"/>
      </w:pPr>
      <w:r>
        <w:t xml:space="preserve">This engagement is governed by the laws of the State of Israel. Any disputes arising from this</w:t>
      </w:r>
      <w:r>
        <w:t xml:space="preserve"> </w:t>
      </w:r>
      <w:r>
        <w:t xml:space="preserve">Quotation Estimate</w:t>
      </w:r>
      <w:r>
        <w:t xml:space="preserve"> </w:t>
      </w:r>
      <w:r>
        <w:t xml:space="preserve">or the engagement shall be subject to the exclusive jurisdiction of the Tel Aviv District Court.</w:t>
      </w:r>
    </w:p>
    <w:p>
      <w:pPr>
        <w:numPr>
          <w:ilvl w:val="0"/>
          <w:numId w:val="1003"/>
        </w:numPr>
        <w:pStyle w:val="Compact"/>
      </w:pPr>
      <w:r>
        <w:t xml:space="preserve">The</w:t>
      </w:r>
      <w:r>
        <w:t xml:space="preserve"> </w:t>
      </w:r>
      <w:r>
        <w:t xml:space="preserve">Lawyer</w:t>
      </w:r>
      <w:r>
        <w:t xml:space="preserve"> </w:t>
      </w:r>
      <w:r>
        <w:t xml:space="preserve">shall not be held liable for any adverse court decision, as the outcome of legal proceedings is inherently uncertain and beyond the control of the legal representative.</w:t>
      </w:r>
    </w:p>
    <w:p>
      <w:pPr>
        <w:numPr>
          <w:ilvl w:val="0"/>
          <w:numId w:val="1003"/>
        </w:numPr>
        <w:pStyle w:val="Compact"/>
      </w:pPr>
      <w:r>
        <w:t xml:space="preserve">Either party may terminate the engagement with thirty (30) days' written notice. Upon termination, the client shall be liable for all fees and costs incurred up to the date of termination.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that this</w:t>
      </w:r>
      <w:r>
        <w:t xml:space="preserve"> </w:t>
      </w:r>
      <w:r>
        <w:t xml:space="preserve">Quotation Estimate</w:t>
      </w:r>
      <w:r>
        <w:t xml:space="preserve"> </w:t>
      </w:r>
      <w:r>
        <w:t xml:space="preserve">has been reviewed and understood, and authorizes the</w:t>
      </w:r>
      <w:r>
        <w:t xml:space="preserve"> </w:t>
      </w:r>
      <w:r>
        <w:t xml:space="preserve">Lawyer</w:t>
      </w:r>
      <w:r>
        <w:t xml:space="preserve"> </w:t>
      </w:r>
      <w:r>
        <w:t xml:space="preserve">at Levi &amp; Associates Law Firm to commence the legal services described herein in Tel Aviv, Israel, under the terms and conditions set forth in this document.</w:t>
      </w:r>
    </w:p>
    <w:p>
      <w:pPr>
        <w:pStyle w:val="BodyText"/>
      </w:pPr>
      <w:r>
        <w:rPr>
          <w:bCs/>
          <w:b/>
        </w:rPr>
        <w:t xml:space="preserve">Client Signature</w:t>
      </w:r>
      <w:r>
        <w:br/>
      </w:r>
      <w:r>
        <w:t xml:space="preserve">Ms. Rachel Ben-David</w:t>
      </w:r>
      <w:r>
        <w:br/>
      </w:r>
      <w:r>
        <w:t xml:space="preserve">Date: _______________</w:t>
      </w:r>
    </w:p>
    <w:p>
      <w:pPr>
        <w:pStyle w:val="BodyText"/>
      </w:pPr>
      <w:r>
        <w:rPr>
          <w:bCs/>
          <w:b/>
        </w:rPr>
        <w:t xml:space="preserve">Lawyer / Attorney at Law</w:t>
      </w:r>
      <w:r>
        <w:br/>
      </w:r>
      <w:r>
        <w:t xml:space="preserve">Adv. Daniel Levi</w:t>
      </w:r>
      <w:r>
        <w:br/>
      </w:r>
      <w:r>
        <w:t xml:space="preserve">Levi &amp; Associates Law Firm, Tel Aviv, Israel</w:t>
      </w:r>
      <w:r>
        <w:br/>
      </w:r>
      <w:r>
        <w:t xml:space="preserve">Date: _______________</w:t>
      </w:r>
    </w:p>
    <w:p>
      <w:pPr>
        <w:pStyle w:val="BodyText"/>
      </w:pPr>
      <w:r>
        <w:t xml:space="preserve">This Quotation Estimate was prepared by Levi &amp; Associates Law Firm, Tel Aviv, Israel. This document is confidential and intended solely for the named recipient. Unauthorized reproduction or distribution is prohibited under Israeli law.</w:t>
      </w:r>
      <w:r>
        <w:br/>
      </w:r>
      <w:r>
        <w:t xml:space="preserve">© 2025 Levi &amp; Associates Law Firm. All rights reserved. | Bar Registration No. 52841 | Tel Aviv, Israel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Tel Aviv, Israel</dc:title>
  <dc:creator/>
  <dc:language>en</dc:language>
  <cp:keywords/>
  <dcterms:created xsi:type="dcterms:W3CDTF">2026-10-10T07:34:54Z</dcterms:created>
  <dcterms:modified xsi:type="dcterms:W3CDTF">2026-10-10T07:34:54Z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