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Milan, Italy — Foro di Milano</w:t>
      </w:r>
    </w:p>
    <w:bookmarkEnd w:id="20"/>
    <w:p>
      <w:pPr>
        <w:pStyle w:val="BodyText"/>
      </w:pPr>
      <w:r>
        <w:rPr>
          <w:bCs/>
          <w:b/>
        </w:rPr>
        <w:t xml:space="preserve">Studio Legale Rossi &amp; Associati</w:t>
      </w:r>
      <w:r>
        <w:br/>
      </w:r>
      <w:r>
        <w:t xml:space="preserve">Via Dante Alighieri 42, 20121</w:t>
      </w:r>
      <w:r>
        <w:br/>
      </w:r>
      <w:r>
        <w:t xml:space="preserve">Milan (MI), Italy</w:t>
      </w:r>
      <w:r>
        <w:br/>
      </w:r>
      <w:r>
        <w:t xml:space="preserve">Tel: +39 02 8765 4321</w:t>
      </w:r>
      <w:r>
        <w:br/>
      </w:r>
      <w:r>
        <w:t xml:space="preserve">Email: info@studirossi-milano.it</w:t>
      </w:r>
      <w:r>
        <w:br/>
      </w:r>
      <w:r>
        <w:t xml:space="preserve">P.IVA: 09876543210</w:t>
      </w:r>
      <w:r>
        <w:br/>
      </w:r>
      <w:r>
        <w:t xml:space="preserve">Albo Forense di Milano — N. 12345</w:t>
      </w:r>
    </w:p>
    <w:p>
      <w:pPr>
        <w:pStyle w:val="BodyText"/>
      </w:pPr>
      <w:r>
        <w:rPr>
          <w:bCs/>
          <w:b/>
        </w:rPr>
        <w:t xml:space="preserve">Quotation Estimate Reference:</w:t>
      </w:r>
      <w:r>
        <w:t xml:space="preserve"> </w:t>
      </w:r>
      <w:r>
        <w:t xml:space="preserve">QTE-2025-MIL-0047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Avv. Marco Rossi</w:t>
      </w:r>
      <w:r>
        <w:br/>
      </w:r>
      <w:r>
        <w:rPr>
          <w:bCs/>
          <w:b/>
        </w:rPr>
        <w:t xml:space="preserve">Language:</w:t>
      </w:r>
      <w:r>
        <w:t xml:space="preserve"> </w:t>
      </w:r>
      <w:r>
        <w:t xml:space="preserve">English</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Company</w:t>
            </w:r>
          </w:p>
        </w:tc>
        <w:tc>
          <w:tcPr/>
          <w:p>
            <w:pPr>
              <w:pStyle w:val="Compact"/>
              <w:jc w:val="left"/>
            </w:pPr>
            <w:r>
              <w:t xml:space="preserve">Signor / Signora [Full Name] / [Company S.r.l.]</w:t>
            </w:r>
          </w:p>
        </w:tc>
      </w:tr>
      <w:tr>
        <w:tc>
          <w:tcPr/>
          <w:p>
            <w:pPr>
              <w:pStyle w:val="Compact"/>
              <w:jc w:val="left"/>
            </w:pPr>
            <w:r>
              <w:t xml:space="preserve">Address</w:t>
            </w:r>
          </w:p>
        </w:tc>
        <w:tc>
          <w:tcPr/>
          <w:p>
            <w:pPr>
              <w:pStyle w:val="Compact"/>
              <w:jc w:val="left"/>
            </w:pPr>
            <w:r>
              <w:t xml:space="preserve">[Street, Number], [City], [Province], Italy</w:t>
            </w:r>
          </w:p>
        </w:tc>
      </w:tr>
      <w:tr>
        <w:tc>
          <w:tcPr/>
          <w:p>
            <w:pPr>
              <w:pStyle w:val="Compact"/>
              <w:jc w:val="left"/>
            </w:pPr>
            <w:r>
              <w:t xml:space="preserve">Contact Email</w:t>
            </w:r>
          </w:p>
        </w:tc>
        <w:tc>
          <w:tcPr/>
          <w:p>
            <w:pPr>
              <w:pStyle w:val="Compact"/>
              <w:jc w:val="left"/>
            </w:pPr>
            <w:r>
              <w:t xml:space="preserve">[email@domain.it]</w:t>
            </w:r>
          </w:p>
        </w:tc>
      </w:tr>
      <w:tr>
        <w:tc>
          <w:tcPr/>
          <w:p>
            <w:pPr>
              <w:pStyle w:val="Compact"/>
              <w:jc w:val="left"/>
            </w:pPr>
            <w:r>
              <w:t xml:space="preserve">Telephone</w:t>
            </w:r>
          </w:p>
        </w:tc>
        <w:tc>
          <w:tcPr/>
          <w:p>
            <w:pPr>
              <w:pStyle w:val="Compact"/>
              <w:jc w:val="left"/>
            </w:pPr>
            <w:r>
              <w:t xml:space="preserve">+39 [number]</w:t>
            </w:r>
          </w:p>
        </w:tc>
      </w:tr>
      <w:tr>
        <w:tc>
          <w:tcPr/>
          <w:p>
            <w:pPr>
              <w:pStyle w:val="Compact"/>
              <w:jc w:val="left"/>
            </w:pPr>
            <w:r>
              <w:t xml:space="preserve">Code Fiscale / P.IVA</w:t>
            </w:r>
          </w:p>
        </w:tc>
        <w:tc>
          <w:tcPr/>
          <w:p>
            <w:pPr>
              <w:pStyle w:val="Compact"/>
              <w:jc w:val="left"/>
            </w:pPr>
            <w:r>
              <w:t xml:space="preserve">[Tax Code]</w:t>
            </w:r>
          </w:p>
        </w:tc>
      </w:tr>
    </w:tbl>
    <w:p>
      <w:pPr>
        <w:pStyle w:val="BodyText"/>
      </w:pPr>
      <w:r>
        <w:t xml:space="preserve">Scope of Legal Services — Lawyer Engagement in Milan, Italy</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Avv. Marco Rossi, registered with the</w:t>
      </w:r>
      <w:r>
        <w:t xml:space="preserve"> </w:t>
      </w:r>
      <w:r>
        <w:rPr>
          <w:iCs/>
          <w:i/>
        </w:rPr>
        <w:t xml:space="preserve">Ordine degli Avvocati di Milano</w:t>
      </w:r>
      <w:r>
        <w:t xml:space="preserve"> </w:t>
      </w:r>
      <w:r>
        <w:t xml:space="preserve">(Bar Association of Milan), in the capacity of legal counsel and advocate before the courts of the</w:t>
      </w:r>
      <w:r>
        <w:t xml:space="preserve"> </w:t>
      </w:r>
      <w:r>
        <w:rPr>
          <w:iCs/>
          <w:i/>
        </w:rPr>
        <w:t xml:space="preserve">Distretto Giudiziario di Milano</w:t>
      </w:r>
      <w:r>
        <w:t xml:space="preserve">. The present document sets forth the estimated professional fees, disbursements, and ancillary costs for the legal services to be rendered to the Client in connection with the matter described below. All services shall be performed in accordance with the Italian Code of Professional Conduct for Lawyers (</w:t>
      </w:r>
      <w:r>
        <w:rPr>
          <w:iCs/>
          <w:i/>
        </w:rPr>
        <w:t xml:space="preserve">Deontologia Forense</w:t>
      </w:r>
      <w:r>
        <w:t xml:space="preserve">), the provisions of the Italian Civil Procedure Code (</w:t>
      </w:r>
      <w:r>
        <w:rPr>
          <w:iCs/>
          <w:i/>
        </w:rPr>
        <w:t xml:space="preserve">Codice di Procedura Civile</w:t>
      </w:r>
      <w:r>
        <w:t xml:space="preserve">), and applicable regulations of the Milan Bar Association.</w:t>
      </w:r>
    </w:p>
    <w:p>
      <w:pPr>
        <w:pStyle w:val="BodyText"/>
      </w:pPr>
      <w:r>
        <w:t xml:space="preserve">The</w:t>
      </w:r>
      <w:r>
        <w:t xml:space="preserve"> </w:t>
      </w:r>
      <w:r>
        <w:t xml:space="preserve">Lawyer</w:t>
      </w:r>
      <w:r>
        <w:t xml:space="preserve"> </w:t>
      </w:r>
      <w:r>
        <w:t xml:space="preserve">shall provide comprehensive legal representation and advisory services within the jurisdiction of Milan, Italy, including but not limited to the following:</w:t>
      </w:r>
    </w:p>
    <w:p>
      <w:pPr>
        <w:numPr>
          <w:ilvl w:val="0"/>
          <w:numId w:val="1001"/>
        </w:numPr>
        <w:pStyle w:val="Compact"/>
      </w:pPr>
      <w:r>
        <w:rPr>
          <w:bCs/>
          <w:b/>
        </w:rPr>
        <w:t xml:space="preserve">Legal Consultation and Case Assessment:</w:t>
      </w:r>
      <w:r>
        <w:t xml:space="preserve"> </w:t>
      </w:r>
      <w:r>
        <w:t xml:space="preserve">Initial and ongoing consultations regarding the Client's legal position, risk analysis, and strategic planning. This includes a thorough review of all relevant documentation, contracts, and correspondence pertaining to the matter at hand.</w:t>
      </w:r>
    </w:p>
    <w:p>
      <w:pPr>
        <w:numPr>
          <w:ilvl w:val="0"/>
          <w:numId w:val="1001"/>
        </w:numPr>
        <w:pStyle w:val="Compact"/>
      </w:pPr>
      <w:r>
        <w:rPr>
          <w:bCs/>
          <w:b/>
        </w:rPr>
        <w:t xml:space="preserve">Drafting and Review of Legal Documents:</w:t>
      </w:r>
      <w:r>
        <w:t xml:space="preserve"> </w:t>
      </w:r>
      <w:r>
        <w:t xml:space="preserve">Preparation, revision, and execution of contracts, legal opinions, formal notices (</w:t>
      </w:r>
      <w:r>
        <w:rPr>
          <w:iCs/>
          <w:i/>
        </w:rPr>
        <w:t xml:space="preserve">diffide</w:t>
      </w:r>
      <w:r>
        <w:t xml:space="preserve">), and correspondence with opposing parties, administrative bodies, or judicial authorities within the Milan district.</w:t>
      </w:r>
    </w:p>
    <w:p>
      <w:pPr>
        <w:numPr>
          <w:ilvl w:val="0"/>
          <w:numId w:val="1001"/>
        </w:numPr>
        <w:pStyle w:val="Compact"/>
      </w:pPr>
      <w:r>
        <w:rPr>
          <w:bCs/>
          <w:b/>
        </w:rPr>
        <w:t xml:space="preserve">Representation Before Courts and Authorities:</w:t>
      </w:r>
      <w:r>
        <w:t xml:space="preserve"> </w:t>
      </w:r>
      <w:r>
        <w:t xml:space="preserve">Full legal representation before the</w:t>
      </w:r>
      <w:r>
        <w:t xml:space="preserve"> </w:t>
      </w:r>
      <w:r>
        <w:rPr>
          <w:iCs/>
          <w:i/>
        </w:rPr>
        <w:t xml:space="preserve">Tribunale Ordinario di Milano</w:t>
      </w:r>
      <w:r>
        <w:t xml:space="preserve">, the</w:t>
      </w:r>
      <w:r>
        <w:t xml:space="preserve"> </w:t>
      </w:r>
      <w:r>
        <w:rPr>
          <w:iCs/>
          <w:i/>
        </w:rPr>
        <w:t xml:space="preserve">Corte d'Appello di Milano</w:t>
      </w:r>
      <w:r>
        <w:t xml:space="preserve">, and any relevant administrative or tax courts. This encompasses filing of pleadings, attendance at hearings, oral arguments, and post-judgment enforcement proceedings.</w:t>
      </w:r>
    </w:p>
    <w:p>
      <w:pPr>
        <w:numPr>
          <w:ilvl w:val="0"/>
          <w:numId w:val="1001"/>
        </w:numPr>
        <w:pStyle w:val="Compact"/>
      </w:pPr>
      <w:r>
        <w:rPr>
          <w:bCs/>
          <w:b/>
        </w:rPr>
        <w:t xml:space="preserve">Negotiation and Settlement:</w:t>
      </w:r>
      <w:r>
        <w:t xml:space="preserve"> </w:t>
      </w:r>
      <w:r>
        <w:t xml:space="preserve">Conduct of settlement negotiations, mediation proceedings (as per Italian Legislative Decree 28/2010), and alternative dispute resolution mechanisms available in Milan, Italy.</w:t>
      </w:r>
    </w:p>
    <w:p>
      <w:pPr>
        <w:numPr>
          <w:ilvl w:val="0"/>
          <w:numId w:val="1001"/>
        </w:numPr>
        <w:pStyle w:val="Compact"/>
      </w:pPr>
      <w:r>
        <w:rPr>
          <w:bCs/>
          <w:b/>
        </w:rPr>
        <w:t xml:space="preserve">Administrative and Regulatory Compliance:</w:t>
      </w:r>
      <w:r>
        <w:t xml:space="preserve"> </w:t>
      </w:r>
      <w:r>
        <w:t xml:space="preserve">Advisory services regarding compliance with Italian national and European Union regulations, including but not limited to data protection (GDPR), corporate governance, and sector-specific licensing requirements applicable in the Milan metropolitan area.</w:t>
      </w:r>
    </w:p>
    <w:p>
      <w:pPr>
        <w:pStyle w:val="FirstParagraph"/>
      </w:pPr>
      <w:r>
        <w:t xml:space="preserve">Fee Structure — Quotation Estimate Breakdown</w:t>
      </w:r>
    </w:p>
    <w:p>
      <w:pPr>
        <w:pStyle w:val="BodyText"/>
      </w:pPr>
      <w:r>
        <w:t xml:space="preserve">The following</w:t>
      </w:r>
      <w:r>
        <w:t xml:space="preserve"> </w:t>
      </w:r>
      <w:r>
        <w:t xml:space="preserve">Quotation Estimate</w:t>
      </w:r>
      <w:r>
        <w:t xml:space="preserve"> </w:t>
      </w:r>
      <w:r>
        <w:t xml:space="preserve">outlines the anticipated professional fees for the</w:t>
      </w:r>
      <w:r>
        <w:t xml:space="preserve"> </w:t>
      </w:r>
      <w:r>
        <w:t xml:space="preserve">Lawyer</w:t>
      </w:r>
      <w:r>
        <w:t xml:space="preserve">'s services. All amounts are expressed in Euro (EUR) and are exclusive of Italian Value Added Tax (VAT /</w:t>
      </w:r>
      <w:r>
        <w:t xml:space="preserve"> </w:t>
      </w:r>
      <w:r>
        <w:rPr>
          <w:iCs/>
          <w:i/>
        </w:rPr>
        <w:t xml:space="preserve">IVA</w:t>
      </w:r>
      <w:r>
        <w:t xml:space="preserve">) at the current rate of 22%, unless otherwise stated. The estimates are based on the current scope of work and may be subject to revision should the complexity or duration of the matter change materially.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Hourly Rate (EUR)</w:t>
            </w:r>
          </w:p>
        </w:tc>
        <w:tc>
          <w:tcPr/>
          <w:p>
            <w:pPr>
              <w:pStyle w:val="Compact"/>
              <w:jc w:val="left"/>
            </w:pPr>
            <w:r>
              <w:t xml:space="preserve">Estimated Amount (EUR)</w:t>
            </w:r>
          </w:p>
        </w:tc>
      </w:tr>
      <w:tr>
        <w:tc>
          <w:tcPr/>
          <w:p>
            <w:pPr>
              <w:pStyle w:val="Compact"/>
              <w:jc w:val="left"/>
            </w:pPr>
            <w:r>
              <w:t xml:space="preserve">1</w:t>
            </w:r>
          </w:p>
        </w:tc>
        <w:tc>
          <w:tcPr/>
          <w:p>
            <w:pPr>
              <w:pStyle w:val="Compact"/>
              <w:jc w:val="left"/>
            </w:pPr>
            <w:r>
              <w:t xml:space="preserve">Initial case assessment, document review, and legal strategy formulation</w:t>
            </w:r>
          </w:p>
        </w:tc>
        <w:tc>
          <w:tcPr/>
          <w:p>
            <w:pPr>
              <w:pStyle w:val="Compact"/>
              <w:jc w:val="left"/>
            </w:pPr>
            <w:r>
              <w:t xml:space="preserve">8 – 12</w:t>
            </w:r>
          </w:p>
        </w:tc>
        <w:tc>
          <w:tcPr/>
          <w:p>
            <w:pPr>
              <w:pStyle w:val="Compact"/>
              <w:jc w:val="left"/>
            </w:pPr>
            <w:r>
              <w:t xml:space="preserve">€ 250.00</w:t>
            </w:r>
          </w:p>
        </w:tc>
        <w:tc>
          <w:tcPr/>
          <w:p>
            <w:pPr>
              <w:pStyle w:val="Compact"/>
              <w:jc w:val="left"/>
            </w:pPr>
            <w:r>
              <w:t xml:space="preserve">€ 2,000.00 – € 3,000.00</w:t>
            </w:r>
          </w:p>
        </w:tc>
      </w:tr>
      <w:tr>
        <w:tc>
          <w:tcPr/>
          <w:p>
            <w:pPr>
              <w:pStyle w:val="Compact"/>
              <w:jc w:val="left"/>
            </w:pPr>
            <w:r>
              <w:t xml:space="preserve">2</w:t>
            </w:r>
          </w:p>
        </w:tc>
        <w:tc>
          <w:tcPr/>
          <w:p>
            <w:pPr>
              <w:pStyle w:val="Compact"/>
              <w:jc w:val="left"/>
            </w:pPr>
            <w:r>
              <w:t xml:space="preserve">Drafting of legal briefs, pleadings, and formal communications</w:t>
            </w:r>
          </w:p>
        </w:tc>
        <w:tc>
          <w:tcPr/>
          <w:p>
            <w:pPr>
              <w:pStyle w:val="Compact"/>
              <w:jc w:val="left"/>
            </w:pPr>
            <w:r>
              <w:t xml:space="preserve">15 – 25</w:t>
            </w:r>
          </w:p>
        </w:tc>
        <w:tc>
          <w:tcPr/>
          <w:p>
            <w:pPr>
              <w:pStyle w:val="Compact"/>
              <w:jc w:val="left"/>
            </w:pPr>
            <w:r>
              <w:t xml:space="preserve">€ 250.00</w:t>
            </w:r>
          </w:p>
        </w:tc>
        <w:tc>
          <w:tcPr/>
          <w:p>
            <w:pPr>
              <w:pStyle w:val="Compact"/>
              <w:jc w:val="left"/>
            </w:pPr>
            <w:r>
              <w:t xml:space="preserve">€ 3,750.00 – € 6,250.00</w:t>
            </w:r>
          </w:p>
        </w:tc>
      </w:tr>
      <w:tr>
        <w:tc>
          <w:tcPr/>
          <w:p>
            <w:pPr>
              <w:pStyle w:val="Compact"/>
              <w:jc w:val="left"/>
            </w:pPr>
            <w:r>
              <w:t xml:space="preserve">3</w:t>
            </w:r>
          </w:p>
        </w:tc>
        <w:tc>
          <w:tcPr/>
          <w:p>
            <w:pPr>
              <w:pStyle w:val="Compact"/>
              <w:jc w:val="left"/>
            </w:pPr>
            <w:r>
              <w:t xml:space="preserve">Court representation and attendance at hearings (Tribunale di Milano)</w:t>
            </w:r>
          </w:p>
        </w:tc>
        <w:tc>
          <w:tcPr/>
          <w:p>
            <w:pPr>
              <w:pStyle w:val="Compact"/>
              <w:jc w:val="left"/>
            </w:pPr>
            <w:r>
              <w:t xml:space="preserve">10 – 20</w:t>
            </w:r>
          </w:p>
        </w:tc>
        <w:tc>
          <w:tcPr/>
          <w:p>
            <w:pPr>
              <w:pStyle w:val="Compact"/>
              <w:jc w:val="left"/>
            </w:pPr>
            <w:r>
              <w:t xml:space="preserve">€ 300.00</w:t>
            </w:r>
          </w:p>
        </w:tc>
        <w:tc>
          <w:tcPr/>
          <w:p>
            <w:pPr>
              <w:pStyle w:val="Compact"/>
              <w:jc w:val="left"/>
            </w:pPr>
            <w:r>
              <w:t xml:space="preserve">€ 3,000.00 – € 6,000.00</w:t>
            </w:r>
          </w:p>
        </w:tc>
      </w:tr>
      <w:tr>
        <w:tc>
          <w:tcPr/>
          <w:p>
            <w:pPr>
              <w:pStyle w:val="Compact"/>
              <w:jc w:val="left"/>
            </w:pPr>
            <w:r>
              <w:t xml:space="preserve">4</w:t>
            </w:r>
          </w:p>
        </w:tc>
        <w:tc>
          <w:tcPr/>
          <w:p>
            <w:pPr>
              <w:pStyle w:val="Compact"/>
              <w:jc w:val="left"/>
            </w:pPr>
            <w:r>
              <w:t xml:space="preserve">Negotiation, mediation, and settlement proceedings</w:t>
            </w:r>
          </w:p>
        </w:tc>
        <w:tc>
          <w:tcPr/>
          <w:p>
            <w:pPr>
              <w:pStyle w:val="Compact"/>
              <w:jc w:val="left"/>
            </w:pPr>
            <w:r>
              <w:t xml:space="preserve">6 – 10</w:t>
            </w:r>
          </w:p>
        </w:tc>
        <w:tc>
          <w:tcPr/>
          <w:p>
            <w:pPr>
              <w:pStyle w:val="Compact"/>
              <w:jc w:val="left"/>
            </w:pPr>
            <w:r>
              <w:t xml:space="preserve">€ 275.00</w:t>
            </w:r>
          </w:p>
        </w:tc>
        <w:tc>
          <w:tcPr/>
          <w:p>
            <w:pPr>
              <w:pStyle w:val="Compact"/>
              <w:jc w:val="left"/>
            </w:pPr>
            <w:r>
              <w:t xml:space="preserve">€ 1,650.00 – € 2,750.00</w:t>
            </w:r>
          </w:p>
        </w:tc>
      </w:tr>
      <w:tr>
        <w:tc>
          <w:tcPr/>
          <w:p>
            <w:pPr>
              <w:pStyle w:val="Compact"/>
              <w:jc w:val="left"/>
            </w:pPr>
            <w:r>
              <w:t xml:space="preserve">5</w:t>
            </w:r>
          </w:p>
        </w:tc>
        <w:tc>
          <w:tcPr/>
          <w:p>
            <w:pPr>
              <w:pStyle w:val="Compact"/>
              <w:jc w:val="left"/>
            </w:pPr>
            <w:r>
              <w:t xml:space="preserve">Post-judgment enforcement and compliance monitoring</w:t>
            </w:r>
          </w:p>
        </w:tc>
        <w:tc>
          <w:tcPr/>
          <w:p>
            <w:pPr>
              <w:pStyle w:val="Compact"/>
              <w:jc w:val="left"/>
            </w:pPr>
            <w:r>
              <w:t xml:space="preserve">5 – 10</w:t>
            </w:r>
          </w:p>
        </w:tc>
        <w:tc>
          <w:tcPr/>
          <w:p>
            <w:pPr>
              <w:pStyle w:val="Compact"/>
              <w:jc w:val="left"/>
            </w:pPr>
            <w:r>
              <w:t xml:space="preserve">€ 250.00</w:t>
            </w:r>
          </w:p>
        </w:tc>
        <w:tc>
          <w:tcPr/>
          <w:p>
            <w:pPr>
              <w:pStyle w:val="Compact"/>
              <w:jc w:val="left"/>
            </w:pPr>
            <w:r>
              <w:t xml:space="preserve">€ 1,250.00 – € 2,500.00</w:t>
            </w:r>
          </w:p>
        </w:tc>
      </w:tr>
      <w:tr>
        <w:tc>
          <w:tcPr/>
          <w:p>
            <w:pPr>
              <w:pStyle w:val="Compact"/>
              <w:jc w:val="left"/>
            </w:pPr>
            <w:r>
              <w:t xml:space="preserve">6</w:t>
            </w:r>
          </w:p>
        </w:tc>
        <w:tc>
          <w:tcPr/>
          <w:p>
            <w:pPr>
              <w:pStyle w:val="Compact"/>
              <w:jc w:val="left"/>
            </w:pPr>
            <w:r>
              <w:t xml:space="preserve">Administrative disbursements (court fees,</w:t>
            </w:r>
            <w:r>
              <w:t xml:space="preserve"> </w:t>
            </w:r>
            <w:r>
              <w:rPr>
                <w:iCs/>
                <w:i/>
              </w:rPr>
              <w:t xml:space="preserve">marca da bollo</w:t>
            </w:r>
            <w:r>
              <w:t xml:space="preserve">, registered mail, expert reports, translation services)</w:t>
            </w:r>
          </w:p>
        </w:tc>
        <w:tc>
          <w:tcPr>
            <w:gridSpan w:val="2"/>
          </w:tcPr>
          <w:p>
            <w:pPr>
              <w:pStyle w:val="Compact"/>
              <w:jc w:val="left"/>
            </w:pPr>
            <w:r>
              <w:t xml:space="preserve">At actual cost</w:t>
            </w:r>
          </w:p>
        </w:tc>
        <w:tc>
          <w:tcPr/>
          <w:p>
            <w:pPr>
              <w:pStyle w:val="Compact"/>
              <w:jc w:val="left"/>
            </w:pPr>
            <w:r>
              <w:t xml:space="preserve">€ 800.00 – € 1,500.00</w:t>
            </w:r>
          </w:p>
        </w:tc>
      </w:tr>
      <w:tr>
        <w:tc>
          <w:tcPr>
            <w:gridSpan w:val="4"/>
          </w:tcPr>
          <w:p>
            <w:pPr>
              <w:pStyle w:val="Compact"/>
              <w:jc w:val="right"/>
            </w:pPr>
            <w:r>
              <w:t xml:space="preserve">TOTAL ESTIMATED PROFESSIONAL FEES (excl. IVA 22%)</w:t>
            </w:r>
          </w:p>
        </w:tc>
        <w:tc>
          <w:tcPr/>
          <w:p>
            <w:pPr>
              <w:pStyle w:val="Compact"/>
              <w:jc w:val="left"/>
            </w:pPr>
            <w:r>
              <w:t xml:space="preserve">€ 12,450.00 – € 22,000.00</w:t>
            </w:r>
          </w:p>
        </w:tc>
      </w:tr>
      <w:tr>
        <w:tc>
          <w:tcPr>
            <w:gridSpan w:val="4"/>
          </w:tcPr>
          <w:p>
            <w:pPr>
              <w:pStyle w:val="Compact"/>
              <w:jc w:val="right"/>
            </w:pPr>
            <w:r>
              <w:t xml:space="preserve">ESTIMATED IVA (22%)</w:t>
            </w:r>
          </w:p>
        </w:tc>
        <w:tc>
          <w:tcPr/>
          <w:p>
            <w:pPr>
              <w:pStyle w:val="Compact"/>
              <w:jc w:val="left"/>
            </w:pPr>
            <w:r>
              <w:t xml:space="preserve">€ 2,739.00 – € 4,840.00</w:t>
            </w:r>
          </w:p>
        </w:tc>
      </w:tr>
      <w:tr>
        <w:tc>
          <w:tcPr>
            <w:gridSpan w:val="4"/>
          </w:tcPr>
          <w:p>
            <w:pPr>
              <w:pStyle w:val="Compact"/>
              <w:jc w:val="right"/>
            </w:pPr>
            <w:r>
              <w:t xml:space="preserve">GRAND TOTAL (incl. IVA)</w:t>
            </w:r>
          </w:p>
        </w:tc>
        <w:tc>
          <w:tcPr/>
          <w:p>
            <w:pPr>
              <w:pStyle w:val="Compact"/>
              <w:jc w:val="left"/>
            </w:pPr>
            <w:r>
              <w:t xml:space="preserve">€ 15,189.00 – € 26,840.00</w:t>
            </w:r>
          </w:p>
        </w:tc>
      </w:tr>
    </w:tbl>
    <w:p>
      <w:pPr>
        <w:pStyle w:val="BodyText"/>
      </w:pPr>
      <w:r>
        <w:rPr>
          <w:bCs/>
          <w:b/>
        </w:rPr>
        <w:t xml:space="preserve">Note:</w:t>
      </w:r>
      <w:r>
        <w:t xml:space="preserve"> </w:t>
      </w:r>
      <w:r>
        <w:t xml:space="preserve">This Quotation Estimate is a good-faith projection based on the information available at the time of drafting. The final fees may vary depending on the actual complexity, duration, and number of procedural steps required. The Lawyer shall provide the Client with a detailed monthly timesheet and itemized expense report. No fees shall be charged for services not expressly authorized in writing by the Client.</w:t>
      </w:r>
    </w:p>
    <w:p>
      <w:pPr>
        <w:pStyle w:val="BodyText"/>
      </w:pPr>
      <w:r>
        <w:t xml:space="preserve">Terms and Conditions of the Quotation Estimate</w:t>
      </w:r>
    </w:p>
    <w:p>
      <w:pPr>
        <w:numPr>
          <w:ilvl w:val="0"/>
          <w:numId w:val="1002"/>
        </w:numPr>
        <w:pStyle w:val="Compact"/>
      </w:pPr>
      <w:r>
        <w:rPr>
          <w:bCs/>
          <w:b/>
        </w:rPr>
        <w:t xml:space="preserve">Validity:</w:t>
      </w:r>
      <w:r>
        <w:t xml:space="preserve"> </w:t>
      </w:r>
      <w:r>
        <w:t xml:space="preserve">This Quotation Estimate shall remain valid for thirty (30) calendar days from the date of issue. Upon expiration, the Lawyer reserves the right to revise the fee structure to reflect current market rates and workload conditions in Milan, Italy.</w:t>
      </w:r>
    </w:p>
    <w:p>
      <w:pPr>
        <w:numPr>
          <w:ilvl w:val="0"/>
          <w:numId w:val="1002"/>
        </w:numPr>
        <w:pStyle w:val="Compact"/>
      </w:pPr>
      <w:r>
        <w:rPr>
          <w:bCs/>
          <w:b/>
        </w:rPr>
        <w:t xml:space="preserve">Payment Terms:</w:t>
      </w:r>
      <w:r>
        <w:t xml:space="preserve"> </w:t>
      </w:r>
      <w:r>
        <w:t xml:space="preserve">A retainer fee equal to 30% of the estimated total shall be due upon acceptance of this Quotation Estimate. The remaining balance shall be invoiced in monthly installments, payable within thirty (30) days of invoice date via bank transfer to the firm's designated IBAN account in Milan. Late payments shall accrue interest at the rate established by the Bank of Italy (</w:t>
      </w:r>
      <w:r>
        <w:rPr>
          <w:iCs/>
          <w:i/>
        </w:rPr>
        <w:t xml:space="preserve">Banca d'Italia</w:t>
      </w:r>
      <w:r>
        <w:t xml:space="preserve">).</w:t>
      </w:r>
    </w:p>
    <w:p>
      <w:pPr>
        <w:numPr>
          <w:ilvl w:val="0"/>
          <w:numId w:val="1002"/>
        </w:numPr>
        <w:pStyle w:val="Compact"/>
      </w:pPr>
      <w:r>
        <w:rPr>
          <w:bCs/>
          <w:b/>
        </w:rPr>
        <w:t xml:space="preserve">Confidentiality:</w:t>
      </w:r>
      <w:r>
        <w:t xml:space="preserve"> </w:t>
      </w:r>
      <w:r>
        <w:t xml:space="preserve">The Lawyer shall maintain strict professional secrecy (</w:t>
      </w:r>
      <w:r>
        <w:rPr>
          <w:iCs/>
          <w:i/>
        </w:rPr>
        <w:t xml:space="preserve">segreto professionale</w:t>
      </w:r>
      <w:r>
        <w:t xml:space="preserve">) in accordance with Article 200 of the Italian Code of Criminal Procedure and the ethical rules of the Milan Bar Association. All client information shall be treated as confidential and shall not be disclosed to any third party without the Client's written consent.</w:t>
      </w:r>
    </w:p>
    <w:p>
      <w:pPr>
        <w:numPr>
          <w:ilvl w:val="0"/>
          <w:numId w:val="1002"/>
        </w:numPr>
        <w:pStyle w:val="Compact"/>
      </w:pPr>
      <w:r>
        <w:rPr>
          <w:bCs/>
          <w:b/>
        </w:rPr>
        <w:t xml:space="preserve">Conflict of Interest:</w:t>
      </w:r>
      <w:r>
        <w:t xml:space="preserve"> </w:t>
      </w:r>
      <w:r>
        <w:t xml:space="preserve">The Lawyer confirms that, at the time of issuing this Quotation Estimate, no conflict of interest exists that would impair the independent and diligent representation of the Client before the courts and authorities of Milan, Italy.</w:t>
      </w:r>
    </w:p>
    <w:p>
      <w:pPr>
        <w:numPr>
          <w:ilvl w:val="0"/>
          <w:numId w:val="1002"/>
        </w:numPr>
        <w:pStyle w:val="Compact"/>
      </w:pPr>
      <w:r>
        <w:rPr>
          <w:bCs/>
          <w:b/>
        </w:rPr>
        <w:t xml:space="preserve">Termination:</w:t>
      </w:r>
      <w:r>
        <w:t xml:space="preserve"> </w:t>
      </w:r>
      <w:r>
        <w:t xml:space="preserve">Either party may terminate the engagement by providing thirty (30) days' written notice. In the event of early termination by the Client, fees for services rendered up to the date of termination, plus any outstanding disbursements, shall remain due and payable.</w:t>
      </w:r>
    </w:p>
    <w:p>
      <w:pPr>
        <w:numPr>
          <w:ilvl w:val="0"/>
          <w:numId w:val="1002"/>
        </w:numPr>
        <w:pStyle w:val="Compact"/>
      </w:pPr>
      <w:r>
        <w:rPr>
          <w:bCs/>
          <w:b/>
        </w:rPr>
        <w:t xml:space="preserve">Governing Law and Jurisdiction:</w:t>
      </w:r>
      <w:r>
        <w:t xml:space="preserve"> </w:t>
      </w:r>
      <w:r>
        <w:t xml:space="preserve">This Quotation Estimate and the resulting professional engagement shall be governed by and construed in accordance with Italian law. Any disputes arising herefrom shall be subject to the exclusive jurisdiction of the courts of Milan, Italy, or, at the Client's election, to binding arbitration administered by the</w:t>
      </w:r>
      <w:r>
        <w:t xml:space="preserve"> </w:t>
      </w:r>
      <w:r>
        <w:rPr>
          <w:iCs/>
          <w:i/>
        </w:rPr>
        <w:t xml:space="preserve">Camere Arbitrali di Milano</w:t>
      </w:r>
      <w:r>
        <w:t xml:space="preserve">.</w:t>
      </w:r>
    </w:p>
    <w:p>
      <w:pPr>
        <w:numPr>
          <w:ilvl w:val="0"/>
          <w:numId w:val="1002"/>
        </w:numPr>
        <w:pStyle w:val="Compact"/>
      </w:pPr>
      <w:r>
        <w:rPr>
          <w:bCs/>
          <w:b/>
        </w:rPr>
        <w:t xml:space="preserve">Professional Insurance:</w:t>
      </w:r>
      <w:r>
        <w:t xml:space="preserve"> </w:t>
      </w:r>
      <w:r>
        <w:t xml:space="preserve">The Lawyer maintains professional liability insurance (</w:t>
      </w:r>
      <w:r>
        <w:rPr>
          <w:iCs/>
          <w:i/>
        </w:rPr>
        <w:t xml:space="preserve">polizza RC professionale</w:t>
      </w:r>
      <w:r>
        <w:t xml:space="preserve">) as required by the Italian Ministry of Justice, with coverage adequate to protect the Client against claims arising from professional negligence.</w:t>
      </w:r>
    </w:p>
    <w:p>
      <w:pPr>
        <w:pStyle w:val="FirstParagraph"/>
      </w:pPr>
      <w:r>
        <w:t xml:space="preserve">Acceptance of Quotation Estimate</w:t>
      </w:r>
    </w:p>
    <w:p>
      <w:pPr>
        <w:pStyle w:val="BodyText"/>
      </w:pPr>
      <w:r>
        <w:t xml:space="preserve">By signing below, the Client acknowledges receipt of this Quotation Estimate, confirms understanding of the scope of services, fee structure, and terms outlined herein, and authorizes the</w:t>
      </w:r>
      <w:r>
        <w:t xml:space="preserve"> </w:t>
      </w:r>
      <w:r>
        <w:t xml:space="preserve">Lawyer</w:t>
      </w:r>
      <w:r>
        <w:t xml:space="preserve"> </w:t>
      </w:r>
      <w:r>
        <w:t xml:space="preserve">to commence the legal engagement as described. This acceptance constitutes a binding professional engagement agreement between the parties under Italian law.</w:t>
      </w:r>
    </w:p>
    <w:p>
      <w:pPr>
        <w:pStyle w:val="BodyText"/>
      </w:pPr>
      <w:r>
        <w:rPr>
          <w:bCs/>
          <w:b/>
        </w:rPr>
        <w:t xml:space="preserve">For and on behalf of the Lawyer</w:t>
      </w:r>
      <w:r>
        <w:br/>
      </w:r>
      <w:r>
        <w:t xml:space="preserve">Avv. Marco Rossi</w:t>
      </w:r>
      <w:r>
        <w:br/>
      </w:r>
      <w:r>
        <w:t xml:space="preserve">Studio Legale Rossi &amp; Associati</w:t>
      </w:r>
      <w:r>
        <w:br/>
      </w:r>
      <w:r>
        <w:t xml:space="preserve">Milan, Italy</w:t>
      </w:r>
      <w:r>
        <w:br/>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[Full Name / Company Representative]</w:t>
      </w:r>
      <w:r>
        <w:br/>
      </w:r>
      <w:r>
        <w:t xml:space="preserve">[Title / Position]</w:t>
      </w:r>
      <w:r>
        <w:br/>
      </w:r>
      <w:r>
        <w:t xml:space="preserve">[City], Italy</w:t>
      </w:r>
      <w:r>
        <w:br/>
      </w:r>
      <w:r>
        <w:br/>
      </w:r>
      <w:r>
        <w:t xml:space="preserve">Signature: _________________________</w:t>
      </w:r>
      <w:r>
        <w:br/>
      </w:r>
      <w:r>
        <w:t xml:space="preserve">Date: _________________________</w:t>
      </w:r>
    </w:p>
    <w:p>
      <w:pPr>
        <w:pStyle w:val="BodyText"/>
      </w:pPr>
      <w:r>
        <w:t xml:space="preserve">This Quotation Estimate was prepared by Studio Legale Rossi &amp; Associati, a law firm registered with the Albo Forense di Milano, located in Milan, Italy.</w:t>
      </w:r>
      <w:r>
        <w:t xml:space="preserve"> </w:t>
      </w:r>
      <w:r>
        <w:t xml:space="preserve">Document Reference: QTE-2025-MIL-0047 | Page 1 of 1</w:t>
      </w:r>
      <w:r>
        <w:br/>
      </w:r>
      <w:r>
        <w:t xml:space="preserve">© 2025 Studio Legale Rossi &amp; Associati — All Rights Reserved. This document is confidential and intended solely for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Milan, Italy</dc:title>
  <dc:creator/>
  <dc:language>en</dc:language>
  <cp:keywords/>
  <dcterms:created xsi:type="dcterms:W3CDTF">2026-10-10T09:17:17Z</dcterms:created>
  <dcterms:modified xsi:type="dcterms:W3CDTF">2026-10-10T09:17:17Z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