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Legal Services — Avvocatura &amp; Consulenza Legale</w:t>
      </w:r>
    </w:p>
    <w:p>
      <w:pPr>
        <w:pStyle w:val="BodyText"/>
      </w:pPr>
      <w:r>
        <w:t xml:space="preserve">Issued in Naples, Italy (Napoli, Campania)</w:t>
      </w:r>
    </w:p>
    <w:bookmarkEnd w:id="20"/>
    <w:p>
      <w:pPr>
        <w:pStyle w:val="BodyText"/>
      </w:pPr>
      <w:r>
        <w:rPr>
          <w:bCs/>
          <w:b/>
        </w:rPr>
        <w:t xml:space="preserve">Quotation Estimate No.:</w:t>
      </w:r>
      <w:r>
        <w:t xml:space="preserve"> </w:t>
      </w:r>
      <w:r>
        <w:t xml:space="preserve">NAP-2025-04782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Jurisdiction:</w:t>
      </w:r>
      <w:r>
        <w:t xml:space="preserve"> </w:t>
      </w:r>
      <w:r>
        <w:t xml:space="preserve">Tribunale di Napoli, Italy</w:t>
      </w:r>
    </w:p>
    <w:p>
      <w:pPr>
        <w:pStyle w:val="BodyText"/>
      </w:pPr>
      <w:r>
        <w:rPr>
          <w:bCs/>
          <w:b/>
        </w:rPr>
        <w:t xml:space="preserve">Issued By (Lawyer / Law Firm):</w:t>
      </w:r>
    </w:p>
    <w:p>
      <w:pPr>
        <w:pStyle w:val="BodyText"/>
      </w:pPr>
      <w:r>
        <w:t xml:space="preserve">Studio Legale Ferrante &amp; Associati</w:t>
      </w:r>
    </w:p>
    <w:p>
      <w:pPr>
        <w:pStyle w:val="BodyText"/>
      </w:pPr>
      <w:r>
        <w:t xml:space="preserve">Via Toledo, 142 — 80132 Naples (Napoli), Italy</w:t>
      </w:r>
    </w:p>
    <w:p>
      <w:pPr>
        <w:pStyle w:val="BodyText"/>
      </w:pPr>
      <w:r>
        <w:t xml:space="preserve">Tel: +39 081 554 7821</w:t>
      </w:r>
    </w:p>
    <w:p>
      <w:pPr>
        <w:pStyle w:val="BodyText"/>
      </w:pPr>
      <w:r>
        <w:t xml:space="preserve">Email: info@studioferrante.it</w:t>
      </w:r>
    </w:p>
    <w:p>
      <w:pPr>
        <w:pStyle w:val="BodyText"/>
      </w:pPr>
      <w:r>
        <w:t xml:space="preserve">Albo Forense di Napoli — Iscr. n. 12847</w:t>
      </w:r>
    </w:p>
    <w:p>
      <w:pPr>
        <w:pStyle w:val="BodyText"/>
      </w:pPr>
      <w:r>
        <w:t xml:space="preserve">VAT (P.IVA): IT02345678901</w:t>
      </w:r>
    </w:p>
    <w:p>
      <w:pPr>
        <w:pStyle w:val="BodyText"/>
      </w:pPr>
      <w:r>
        <w:rPr>
          <w:bCs/>
          <w:b/>
        </w:rPr>
        <w:t xml:space="preserve">Prepared For (Client):</w:t>
      </w:r>
    </w:p>
    <w:p>
      <w:pPr>
        <w:pStyle w:val="BodyText"/>
      </w:pPr>
      <w:r>
        <w:t xml:space="preserve">Mr. Giacomo De Santis</w:t>
      </w:r>
    </w:p>
    <w:p>
      <w:pPr>
        <w:pStyle w:val="BodyText"/>
      </w:pPr>
      <w:r>
        <w:t xml:space="preserve">Via Chiaia, 88 — 80121 Naples (Napoli), Italy</w:t>
      </w:r>
    </w:p>
    <w:p>
      <w:pPr>
        <w:pStyle w:val="BodyText"/>
      </w:pPr>
      <w:r>
        <w:t xml:space="preserve">Tel: +39 333 456 7890</w:t>
      </w:r>
    </w:p>
    <w:p>
      <w:pPr>
        <w:pStyle w:val="BodyText"/>
      </w:pPr>
      <w:r>
        <w:t xml:space="preserve">Email: g.desantis@email.it</w:t>
      </w:r>
    </w:p>
    <w:p>
      <w:pPr>
        <w:pStyle w:val="BodyText"/>
      </w:pPr>
      <w:r>
        <w:t xml:space="preserve">Codice Fiscale: DSNGCM75A01H503Z</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the undersigned Lawyer, operating under the professional registration of the</w:t>
      </w:r>
      <w:r>
        <w:t xml:space="preserve"> </w:t>
      </w:r>
      <w:r>
        <w:rPr>
          <w:iCs/>
          <w:i/>
        </w:rPr>
        <w:t xml:space="preserve">Ordine degli Avvocati di Napoli</w:t>
      </w:r>
      <w:r>
        <w:t xml:space="preserve"> </w:t>
      </w:r>
      <w:r>
        <w:t xml:space="preserve">(Bar Association of Naples), to provide the Client with a comprehensive and transparent breakdown of all anticipated legal fees, disbursements, and professional charges related to the engagement of legal counsel in the city of Naples, Italy. This document constitutes a binding Quotation Estimate for the purposes described herein and shall remain valid for the period specified above, after which all rates and conditions may be subject to revision in accordance with the prevailing fee schedules of the Naples Bar Association and applicable Italian legislation (D.M. 55/2014 and subsequent amendments).</w:t>
      </w:r>
    </w:p>
    <w:p>
      <w:pPr>
        <w:pStyle w:val="BodyText"/>
      </w:pPr>
      <w:r>
        <w:t xml:space="preserve">The Lawyer, acting as the Client's legal representative, shall provide full-spectrum legal assistance in matters pertaining to civil litigation, contractual disputes, and property law before the competent courts of Naples, Italy, including but not limited to the Tribunale Ordinario di Napoli, the Corte d'Appello di Napoli, and the Consiglio di Stato where jurisdictionally appropriate.</w:t>
      </w:r>
    </w:p>
    <w:bookmarkEnd w:id="21"/>
    <w:bookmarkStart w:id="22" w:name="detailed-fee-schedule-and-cost-breakdown"/>
    <w:p>
      <w:pPr>
        <w:pStyle w:val="Heading2"/>
      </w:pPr>
      <w:r>
        <w:t xml:space="preserve">2. Detailed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Hourly Rate (EUR)</w:t>
            </w:r>
          </w:p>
        </w:tc>
        <w:tc>
          <w:tcPr/>
          <w:p>
            <w:pPr>
              <w:pStyle w:val="Compact"/>
              <w:jc w:val="left"/>
            </w:pPr>
            <w:r>
              <w:t xml:space="preserve">Estimated Cost (EUR)</w:t>
            </w:r>
          </w:p>
        </w:tc>
      </w:tr>
      <w:tr>
        <w:tc>
          <w:tcPr/>
          <w:p>
            <w:pPr>
              <w:pStyle w:val="Compact"/>
              <w:jc w:val="left"/>
            </w:pPr>
            <w:r>
              <w:t xml:space="preserve">1.1</w:t>
            </w:r>
          </w:p>
        </w:tc>
        <w:tc>
          <w:tcPr/>
          <w:p>
            <w:pPr>
              <w:pStyle w:val="Compact"/>
              <w:jc w:val="left"/>
            </w:pPr>
            <w:r>
              <w:t xml:space="preserve">Initial consultation and case assessment by the Lawyer at the Naples office (Via Toledo, 142)</w:t>
            </w:r>
          </w:p>
        </w:tc>
        <w:tc>
          <w:tcPr/>
          <w:p>
            <w:pPr>
              <w:pStyle w:val="Compact"/>
              <w:jc w:val="left"/>
            </w:pPr>
            <w:r>
              <w:t xml:space="preserve">2.0</w:t>
            </w:r>
          </w:p>
        </w:tc>
        <w:tc>
          <w:tcPr/>
          <w:p>
            <w:pPr>
              <w:pStyle w:val="Compact"/>
              <w:jc w:val="left"/>
            </w:pPr>
            <w:r>
              <w:t xml:space="preserve">€ 180.00</w:t>
            </w:r>
          </w:p>
        </w:tc>
        <w:tc>
          <w:tcPr/>
          <w:p>
            <w:pPr>
              <w:pStyle w:val="Compact"/>
              <w:jc w:val="left"/>
            </w:pPr>
            <w:r>
              <w:t xml:space="preserve">€ 360.00</w:t>
            </w:r>
          </w:p>
        </w:tc>
      </w:tr>
      <w:tr>
        <w:tc>
          <w:tcPr/>
          <w:p>
            <w:pPr>
              <w:pStyle w:val="Compact"/>
              <w:jc w:val="left"/>
            </w:pPr>
            <w:r>
              <w:t xml:space="preserve">1.2</w:t>
            </w:r>
          </w:p>
        </w:tc>
        <w:tc>
          <w:tcPr/>
          <w:p>
            <w:pPr>
              <w:pStyle w:val="Compact"/>
              <w:jc w:val="left"/>
            </w:pPr>
            <w:r>
              <w:t xml:space="preserve">Preparation and filing of the writ of summons (</w:t>
            </w:r>
            <w:r>
              <w:rPr>
                <w:iCs/>
                <w:i/>
              </w:rPr>
              <w:t xml:space="preserve">atto di citazione</w:t>
            </w:r>
            <w:r>
              <w:t xml:space="preserve">) before the Tribunale di Napoli</w:t>
            </w:r>
          </w:p>
        </w:tc>
        <w:tc>
          <w:tcPr/>
          <w:p>
            <w:pPr>
              <w:pStyle w:val="Compact"/>
              <w:jc w:val="left"/>
            </w:pPr>
            <w:r>
              <w:t xml:space="preserve">6.0</w:t>
            </w:r>
          </w:p>
        </w:tc>
        <w:tc>
          <w:tcPr/>
          <w:p>
            <w:pPr>
              <w:pStyle w:val="Compact"/>
              <w:jc w:val="left"/>
            </w:pPr>
            <w:r>
              <w:t xml:space="preserve">€ 180.00</w:t>
            </w:r>
          </w:p>
        </w:tc>
        <w:tc>
          <w:tcPr/>
          <w:p>
            <w:pPr>
              <w:pStyle w:val="Compact"/>
              <w:jc w:val="left"/>
            </w:pPr>
            <w:r>
              <w:t xml:space="preserve">€ 1,080.00</w:t>
            </w:r>
          </w:p>
        </w:tc>
      </w:tr>
      <w:tr>
        <w:tc>
          <w:tcPr/>
          <w:p>
            <w:pPr>
              <w:pStyle w:val="Compact"/>
              <w:jc w:val="left"/>
            </w:pPr>
            <w:r>
              <w:t xml:space="preserve">1.3</w:t>
            </w:r>
          </w:p>
        </w:tc>
        <w:tc>
          <w:tcPr/>
          <w:p>
            <w:pPr>
              <w:pStyle w:val="Compact"/>
              <w:jc w:val="left"/>
            </w:pPr>
            <w:r>
              <w:t xml:space="preserve">Drafting of the defence memorandum (</w:t>
            </w:r>
            <w:r>
              <w:rPr>
                <w:iCs/>
                <w:i/>
              </w:rPr>
              <w:t xml:space="preserve">memoria difensiva</w:t>
            </w:r>
            <w:r>
              <w:t xml:space="preserve">) and supporting legal briefs</w:t>
            </w:r>
          </w:p>
        </w:tc>
        <w:tc>
          <w:tcPr/>
          <w:p>
            <w:pPr>
              <w:pStyle w:val="Compact"/>
              <w:jc w:val="left"/>
            </w:pPr>
            <w:r>
              <w:t xml:space="preserve">8.0</w:t>
            </w:r>
          </w:p>
        </w:tc>
        <w:tc>
          <w:tcPr/>
          <w:p>
            <w:pPr>
              <w:pStyle w:val="Compact"/>
              <w:jc w:val="left"/>
            </w:pPr>
            <w:r>
              <w:t xml:space="preserve">€ 180.00</w:t>
            </w:r>
          </w:p>
        </w:tc>
        <w:tc>
          <w:tcPr/>
          <w:p>
            <w:pPr>
              <w:pStyle w:val="Compact"/>
              <w:jc w:val="left"/>
            </w:pPr>
            <w:r>
              <w:t xml:space="preserve">€ 1,440.00</w:t>
            </w:r>
          </w:p>
        </w:tc>
      </w:tr>
      <w:tr>
        <w:tc>
          <w:tcPr/>
          <w:p>
            <w:pPr>
              <w:pStyle w:val="Compact"/>
              <w:jc w:val="left"/>
            </w:pPr>
            <w:r>
              <w:t xml:space="preserve">1.4</w:t>
            </w:r>
          </w:p>
        </w:tc>
        <w:tc>
          <w:tcPr/>
          <w:p>
            <w:pPr>
              <w:pStyle w:val="Compact"/>
              <w:jc w:val="left"/>
            </w:pPr>
            <w:r>
              <w:t xml:space="preserve">Representation at up to four (4) court hearings before the Naples civil court</w:t>
            </w:r>
          </w:p>
        </w:tc>
        <w:tc>
          <w:tcPr/>
          <w:p>
            <w:pPr>
              <w:pStyle w:val="Compact"/>
              <w:jc w:val="left"/>
            </w:pPr>
            <w:r>
              <w:t xml:space="preserve">12.0</w:t>
            </w:r>
          </w:p>
        </w:tc>
        <w:tc>
          <w:tcPr/>
          <w:p>
            <w:pPr>
              <w:pStyle w:val="Compact"/>
              <w:jc w:val="left"/>
            </w:pPr>
            <w:r>
              <w:t xml:space="preserve">€ 200.00</w:t>
            </w:r>
          </w:p>
        </w:tc>
        <w:tc>
          <w:tcPr/>
          <w:p>
            <w:pPr>
              <w:pStyle w:val="Compact"/>
              <w:jc w:val="left"/>
            </w:pPr>
            <w:r>
              <w:t xml:space="preserve">€ 2,400.00</w:t>
            </w:r>
          </w:p>
        </w:tc>
      </w:tr>
      <w:tr>
        <w:tc>
          <w:tcPr/>
          <w:p>
            <w:pPr>
              <w:pStyle w:val="Compact"/>
              <w:jc w:val="left"/>
            </w:pPr>
            <w:r>
              <w:t xml:space="preserve">1.5</w:t>
            </w:r>
          </w:p>
        </w:tc>
        <w:tc>
          <w:tcPr/>
          <w:p>
            <w:pPr>
              <w:pStyle w:val="Compact"/>
              <w:jc w:val="left"/>
            </w:pPr>
            <w:r>
              <w:t xml:space="preserve">Legal research, expert opinion coordination, and preparation of evidentiary exhibits</w:t>
            </w:r>
          </w:p>
        </w:tc>
        <w:tc>
          <w:tcPr/>
          <w:p>
            <w:pPr>
              <w:pStyle w:val="Compact"/>
              <w:jc w:val="left"/>
            </w:pPr>
            <w:r>
              <w:t xml:space="preserve">5.0</w:t>
            </w:r>
          </w:p>
        </w:tc>
        <w:tc>
          <w:tcPr/>
          <w:p>
            <w:pPr>
              <w:pStyle w:val="Compact"/>
              <w:jc w:val="left"/>
            </w:pPr>
            <w:r>
              <w:t xml:space="preserve">€ 180.00</w:t>
            </w:r>
          </w:p>
        </w:tc>
        <w:tc>
          <w:tcPr/>
          <w:p>
            <w:pPr>
              <w:pStyle w:val="Compact"/>
              <w:jc w:val="left"/>
            </w:pPr>
            <w:r>
              <w:t xml:space="preserve">€ 900.00</w:t>
            </w:r>
          </w:p>
        </w:tc>
      </w:tr>
      <w:tr>
        <w:tc>
          <w:tcPr/>
          <w:p>
            <w:pPr>
              <w:pStyle w:val="Compact"/>
              <w:jc w:val="left"/>
            </w:pPr>
            <w:r>
              <w:t xml:space="preserve">1.6</w:t>
            </w:r>
          </w:p>
        </w:tc>
        <w:tc>
          <w:tcPr/>
          <w:p>
            <w:pPr>
              <w:pStyle w:val="Compact"/>
              <w:jc w:val="left"/>
            </w:pPr>
            <w:r>
              <w:t xml:space="preserve">Post-judgment enforcement proceedings and execution of the court order in Naples, Italy</w:t>
            </w:r>
          </w:p>
        </w:tc>
        <w:tc>
          <w:tcPr/>
          <w:p>
            <w:pPr>
              <w:pStyle w:val="Compact"/>
              <w:jc w:val="left"/>
            </w:pPr>
            <w:r>
              <w:t xml:space="preserve">4.0</w:t>
            </w:r>
          </w:p>
        </w:tc>
        <w:tc>
          <w:tcPr/>
          <w:p>
            <w:pPr>
              <w:pStyle w:val="Compact"/>
              <w:jc w:val="left"/>
            </w:pPr>
            <w:r>
              <w:t xml:space="preserve">€ 200.00</w:t>
            </w:r>
          </w:p>
        </w:tc>
        <w:tc>
          <w:tcPr/>
          <w:p>
            <w:pPr>
              <w:pStyle w:val="Compact"/>
              <w:jc w:val="left"/>
            </w:pPr>
            <w:r>
              <w:t xml:space="preserve">€ 800.00</w:t>
            </w:r>
          </w:p>
        </w:tc>
      </w:tr>
      <w:tr>
        <w:tc>
          <w:tcPr/>
          <w:p>
            <w:pPr>
              <w:pStyle w:val="Compact"/>
              <w:jc w:val="left"/>
            </w:pPr>
            <w:r>
              <w:t xml:space="preserve">2.1</w:t>
            </w:r>
          </w:p>
        </w:tc>
        <w:tc>
          <w:tcPr/>
          <w:p>
            <w:pPr>
              <w:pStyle w:val="Compact"/>
              <w:jc w:val="left"/>
            </w:pPr>
            <w:r>
              <w:t xml:space="preserve">Court filing fees, stamp duties (</w:t>
            </w:r>
            <w:r>
              <w:rPr>
                <w:iCs/>
                <w:i/>
              </w:rPr>
              <w:t xml:space="preserve">marca da bollo</w:t>
            </w:r>
            <w:r>
              <w:t xml:space="preserve">), and registration taxes payable to the Tribunale di Napoli</w:t>
            </w:r>
          </w:p>
        </w:tc>
        <w:tc>
          <w:tcPr/>
          <w:p>
            <w:pPr>
              <w:pStyle w:val="Compact"/>
              <w:jc w:val="left"/>
            </w:pPr>
            <w:r>
              <w:t xml:space="preserve">—</w:t>
            </w:r>
          </w:p>
        </w:tc>
        <w:tc>
          <w:tcPr/>
          <w:p>
            <w:pPr>
              <w:pStyle w:val="Compact"/>
              <w:jc w:val="left"/>
            </w:pPr>
            <w:r>
              <w:t xml:space="preserve">—</w:t>
            </w:r>
          </w:p>
        </w:tc>
        <w:tc>
          <w:tcPr/>
          <w:p>
            <w:pPr>
              <w:pStyle w:val="Compact"/>
              <w:jc w:val="left"/>
            </w:pPr>
            <w:r>
              <w:t xml:space="preserve">€ 450.00</w:t>
            </w:r>
          </w:p>
        </w:tc>
      </w:tr>
      <w:tr>
        <w:tc>
          <w:tcPr/>
          <w:p>
            <w:pPr>
              <w:pStyle w:val="Compact"/>
              <w:jc w:val="left"/>
            </w:pPr>
            <w:r>
              <w:t xml:space="preserve">2.2</w:t>
            </w:r>
          </w:p>
        </w:tc>
        <w:tc>
          <w:tcPr/>
          <w:p>
            <w:pPr>
              <w:pStyle w:val="Compact"/>
              <w:jc w:val="left"/>
            </w:pPr>
            <w:r>
              <w:t xml:space="preserve">Service of process by the</w:t>
            </w:r>
            <w:r>
              <w:t xml:space="preserve"> </w:t>
            </w:r>
            <w:r>
              <w:rPr>
                <w:iCs/>
                <w:i/>
              </w:rPr>
              <w:t xml:space="preserve">Ufficiale Giudiziario</w:t>
            </w:r>
            <w:r>
              <w:t xml:space="preserve"> </w:t>
            </w:r>
            <w:r>
              <w:t xml:space="preserve">(Bailiff) in the Naples district</w:t>
            </w:r>
          </w:p>
        </w:tc>
        <w:tc>
          <w:tcPr/>
          <w:p>
            <w:pPr>
              <w:pStyle w:val="Compact"/>
              <w:jc w:val="left"/>
            </w:pPr>
            <w:r>
              <w:t xml:space="preserve">—</w:t>
            </w:r>
          </w:p>
        </w:tc>
        <w:tc>
          <w:tcPr/>
          <w:p>
            <w:pPr>
              <w:pStyle w:val="Compact"/>
              <w:jc w:val="left"/>
            </w:pPr>
            <w:r>
              <w:t xml:space="preserve">—</w:t>
            </w:r>
          </w:p>
        </w:tc>
        <w:tc>
          <w:tcPr/>
          <w:p>
            <w:pPr>
              <w:pStyle w:val="Compact"/>
              <w:jc w:val="left"/>
            </w:pPr>
            <w:r>
              <w:t xml:space="preserve">€ 220.00</w:t>
            </w:r>
          </w:p>
        </w:tc>
      </w:tr>
      <w:tr>
        <w:tc>
          <w:tcPr/>
          <w:p>
            <w:pPr>
              <w:pStyle w:val="Compact"/>
              <w:jc w:val="left"/>
            </w:pPr>
            <w:r>
              <w:t xml:space="preserve">2.3</w:t>
            </w:r>
          </w:p>
        </w:tc>
        <w:tc>
          <w:tcPr/>
          <w:p>
            <w:pPr>
              <w:pStyle w:val="Compact"/>
              <w:jc w:val="left"/>
            </w:pPr>
            <w:r>
              <w:t xml:space="preserve">Notarial acts, certified copies, and administrative disbursements</w:t>
            </w:r>
          </w:p>
        </w:tc>
        <w:tc>
          <w:tcPr/>
          <w:p>
            <w:pPr>
              <w:pStyle w:val="Compact"/>
              <w:jc w:val="left"/>
            </w:pPr>
            <w:r>
              <w:t xml:space="preserve">—</w:t>
            </w:r>
          </w:p>
        </w:tc>
        <w:tc>
          <w:tcPr/>
          <w:p>
            <w:pPr>
              <w:pStyle w:val="Compact"/>
              <w:jc w:val="left"/>
            </w:pPr>
            <w:r>
              <w:t xml:space="preserve">—</w:t>
            </w:r>
          </w:p>
        </w:tc>
        <w:tc>
          <w:tcPr/>
          <w:p>
            <w:pPr>
              <w:pStyle w:val="Compact"/>
              <w:jc w:val="left"/>
            </w:pPr>
            <w:r>
              <w:t xml:space="preserve">€ 350.00</w:t>
            </w:r>
          </w:p>
        </w:tc>
      </w:tr>
      <w:tr>
        <w:tc>
          <w:tcPr/>
          <w:p>
            <w:pPr>
              <w:pStyle w:val="Compact"/>
              <w:jc w:val="left"/>
            </w:pPr>
            <w:r>
              <w:t xml:space="preserve">3.1</w:t>
            </w:r>
          </w:p>
        </w:tc>
        <w:tc>
          <w:tcPr/>
          <w:p>
            <w:pPr>
              <w:pStyle w:val="Compact"/>
              <w:jc w:val="left"/>
            </w:pPr>
            <w:r>
              <w:t xml:space="preserve">Contingency / success fee (20% of the amount recovered, subject to the minimum thresholds set by the Naples Bar Association)</w:t>
            </w:r>
          </w:p>
        </w:tc>
        <w:tc>
          <w:tcPr/>
          <w:p>
            <w:pPr>
              <w:pStyle w:val="Compact"/>
              <w:jc w:val="left"/>
            </w:pPr>
            <w:r>
              <w:t xml:space="preserve">—</w:t>
            </w:r>
          </w:p>
        </w:tc>
        <w:tc>
          <w:tcPr/>
          <w:p>
            <w:pPr>
              <w:pStyle w:val="Compact"/>
              <w:jc w:val="left"/>
            </w:pPr>
            <w:r>
              <w:t xml:space="preserve">—</w:t>
            </w:r>
          </w:p>
        </w:tc>
        <w:tc>
          <w:tcPr/>
          <w:p>
            <w:pPr>
              <w:pStyle w:val="Compact"/>
              <w:jc w:val="left"/>
            </w:pPr>
            <w:r>
              <w:t xml:space="preserve">Variable</w:t>
            </w:r>
          </w:p>
        </w:tc>
      </w:tr>
      <w:tr>
        <w:tc>
          <w:tcPr>
            <w:gridSpan w:val="4"/>
          </w:tcPr>
          <w:p>
            <w:pPr>
              <w:pStyle w:val="Compact"/>
              <w:jc w:val="right"/>
            </w:pPr>
            <w:r>
              <w:t xml:space="preserve">TOTAL ESTIMATED COST (excl. VAT where applicable):</w:t>
            </w:r>
          </w:p>
        </w:tc>
        <w:tc>
          <w:tcPr/>
          <w:p>
            <w:pPr>
              <w:pStyle w:val="Compact"/>
              <w:jc w:val="left"/>
            </w:pPr>
            <w:r>
              <w:t xml:space="preserve">€ 8,000.00 + Variable</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 This Quotation Estimate is issued exclusively for the Client named above and is non-transferable. The Lawyer reserves the right to decline or modify the engagement if the scope of work materially changes.</w:t>
      </w:r>
    </w:p>
    <w:p>
      <w:pPr>
        <w:numPr>
          <w:ilvl w:val="0"/>
          <w:numId w:val="1001"/>
        </w:numPr>
        <w:pStyle w:val="Compact"/>
      </w:pPr>
      <w:r>
        <w:rPr>
          <w:bCs/>
          <w:b/>
        </w:rPr>
        <w:t xml:space="preserve">3.2</w:t>
      </w:r>
      <w:r>
        <w:t xml:space="preserve"> </w:t>
      </w:r>
      <w:r>
        <w:t xml:space="preserve">— All fees quoted are in Euros (EUR) and are subject to the applicable Italian Value Added Tax (IVA) at the rate of 22%, unless the service qualifies for exemption under Article 10 of DPR 633/1972.</w:t>
      </w:r>
    </w:p>
    <w:p>
      <w:pPr>
        <w:numPr>
          <w:ilvl w:val="0"/>
          <w:numId w:val="1001"/>
        </w:numPr>
        <w:pStyle w:val="Compact"/>
      </w:pPr>
      <w:r>
        <w:rPr>
          <w:bCs/>
          <w:b/>
        </w:rPr>
        <w:t xml:space="preserve">3.3</w:t>
      </w:r>
      <w:r>
        <w:t xml:space="preserve"> </w:t>
      </w:r>
      <w:r>
        <w:t xml:space="preserve">— Payment shall be made in accordance with the following schedule: 30% upon acceptance of this Quotation Estimate, 40% upon filing of the initial court documents in Naples, and the remaining 30% upon conclusion of the proceedings or upon the final court judgment, whichever occurs first.</w:t>
      </w:r>
    </w:p>
    <w:p>
      <w:pPr>
        <w:numPr>
          <w:ilvl w:val="0"/>
          <w:numId w:val="1001"/>
        </w:numPr>
        <w:pStyle w:val="Compact"/>
      </w:pPr>
      <w:r>
        <w:rPr>
          <w:bCs/>
          <w:b/>
        </w:rPr>
        <w:t xml:space="preserve">3.4</w:t>
      </w:r>
      <w:r>
        <w:t xml:space="preserve"> </w:t>
      </w:r>
      <w:r>
        <w:t xml:space="preserve">— The Lawyer shall provide the Client with a detailed written progress report on a monthly basis, itemising all hours spent and disbursements incurred in connection with the matter before the courts of Naples, Italy.</w:t>
      </w:r>
    </w:p>
    <w:p>
      <w:pPr>
        <w:numPr>
          <w:ilvl w:val="0"/>
          <w:numId w:val="1001"/>
        </w:numPr>
        <w:pStyle w:val="Compact"/>
      </w:pPr>
      <w:r>
        <w:rPr>
          <w:bCs/>
          <w:b/>
        </w:rPr>
        <w:t xml:space="preserve">3.5</w:t>
      </w:r>
      <w:r>
        <w:t xml:space="preserve"> </w:t>
      </w:r>
      <w:r>
        <w:t xml:space="preserve">— In the event that the litigation extends beyond the estimated number of hearings or requires additional expert testimony, the Lawyer shall issue a supplementary Quotation Estimate for the Client's written approval before incurring any further costs.</w:t>
      </w:r>
    </w:p>
    <w:p>
      <w:pPr>
        <w:numPr>
          <w:ilvl w:val="0"/>
          <w:numId w:val="1001"/>
        </w:numPr>
        <w:pStyle w:val="Compact"/>
      </w:pPr>
      <w:r>
        <w:rPr>
          <w:bCs/>
          <w:b/>
        </w:rPr>
        <w:t xml:space="preserve">3.6</w:t>
      </w:r>
      <w:r>
        <w:t xml:space="preserve"> </w:t>
      </w:r>
      <w:r>
        <w:t xml:space="preserve">— This Quotation Estimate does not constitute a guarantee of outcome. The Lawyer shall exercise all due diligence and professional competence in accordance with the Code of Professional Conduct of the Italian Bar (Codice Deontologico Forense) and the regulations of the Ordine degli Avvocati di Napoli.</w:t>
      </w:r>
    </w:p>
    <w:p>
      <w:pPr>
        <w:numPr>
          <w:ilvl w:val="0"/>
          <w:numId w:val="1001"/>
        </w:numPr>
        <w:pStyle w:val="Compact"/>
      </w:pPr>
      <w:r>
        <w:rPr>
          <w:bCs/>
          <w:b/>
        </w:rPr>
        <w:t xml:space="preserve">3.7</w:t>
      </w:r>
      <w:r>
        <w:t xml:space="preserve"> </w:t>
      </w:r>
      <w:r>
        <w:t xml:space="preserve">— Any dispute arising from the interpretation or execution of this Quotation Estimate shall be resolved exclusively by the competent courts of Naples, Italy, in accordance with Italian law.</w:t>
      </w:r>
    </w:p>
    <w:p>
      <w:pPr>
        <w:numPr>
          <w:ilvl w:val="0"/>
          <w:numId w:val="1001"/>
        </w:numPr>
        <w:pStyle w:val="Compact"/>
      </w:pPr>
      <w:r>
        <w:rPr>
          <w:bCs/>
          <w:b/>
        </w:rPr>
        <w:t xml:space="preserve">3.8</w:t>
      </w:r>
      <w:r>
        <w:t xml:space="preserve"> </w:t>
      </w:r>
      <w:r>
        <w:t xml:space="preserve">— The Lawyer shall maintain professional liability insurance in accordance with the mandatory requirements of the Italian Bar Association, with a minimum coverage of € 1,000,000 per claim.</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the Lawyer to commence the legal proceedings described herein on the Client's behalf before the courts of Naples, Italy. The Client confirms that all information provided is accurate and that the engagement is entered into voluntarily and with full understanding of the terms set forth in this document.</w:t>
      </w:r>
    </w:p>
    <w:p>
      <w:pPr>
        <w:pStyle w:val="BodyText"/>
      </w:pPr>
      <w:r>
        <w:rPr>
          <w:bCs/>
          <w:b/>
        </w:rPr>
        <w:t xml:space="preserve">For the Lawyer / Law Firm:</w:t>
      </w:r>
    </w:p>
    <w:p>
      <w:pPr>
        <w:pStyle w:val="BodyText"/>
      </w:pPr>
      <w:r>
        <w:t xml:space="preserve">Avv. Marco Ferrante</w:t>
      </w:r>
    </w:p>
    <w:p>
      <w:pPr>
        <w:pStyle w:val="BodyText"/>
      </w:pPr>
      <w:r>
        <w:t xml:space="preserve">Studio Legale Ferrante &amp; Associati</w:t>
      </w:r>
    </w:p>
    <w:p>
      <w:pPr>
        <w:pStyle w:val="BodyText"/>
      </w:pPr>
      <w:r>
        <w:t xml:space="preserve">Naples (Napoli), Italy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Mr. Giacomo De Santis</w:t>
      </w:r>
    </w:p>
    <w:p>
      <w:pPr>
        <w:pStyle w:val="BodyText"/>
      </w:pPr>
      <w:r>
        <w:t xml:space="preserve">Naples (Napoli), Italy</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and issued in Naples, Italy, on 14 June 2025. It is governed by the laws of the Italian Republic and the professional regulations of the Ordine degli Avvocati di Napoli.</w:t>
      </w:r>
      <w:r>
        <w:br/>
      </w:r>
      <w:r>
        <w:t xml:space="preserve">© 2025 Studio Legale Ferrante &amp; Associati — All Rights Reserved. — Document Ref: NAP-2025-04782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Naples, Italy</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