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Nairobi,</w:t>
      </w:r>
      <w:r>
        <w:t xml:space="preserve"> </w:t>
      </w:r>
      <w:r>
        <w:t xml:space="preserve">Kenya</w:t>
      </w:r>
    </w:p>
    <w:bookmarkStart w:id="20" w:name="wanjiku-associates-advocates"/>
    <w:p>
      <w:pPr>
        <w:pStyle w:val="Heading1"/>
      </w:pPr>
      <w:r>
        <w:t xml:space="preserve">Wanjiku &amp; Associates Advocates</w:t>
      </w:r>
    </w:p>
    <w:p>
      <w:pPr>
        <w:pStyle w:val="FirstParagraph"/>
      </w:pPr>
      <w:r>
        <w:t xml:space="preserve">Advocates, Solicitors &amp; Notaries Public</w:t>
      </w:r>
    </w:p>
    <w:p>
      <w:pPr>
        <w:pStyle w:val="BodyText"/>
      </w:pPr>
      <w:r>
        <w:t xml:space="preserve">Suite 412, The Oval Office, Waiyaki Way, Nairobi, Kenya</w:t>
      </w:r>
    </w:p>
    <w:p>
      <w:pPr>
        <w:pStyle w:val="BodyText"/>
      </w:pPr>
      <w:r>
        <w:t xml:space="preserve">Tel: +254 700 123 456 | Email: info@wanjikuassociates.co.ke | P.O. Box 12345-00100, Nairobi</w:t>
      </w:r>
    </w:p>
    <w:p>
      <w:pPr>
        <w:pStyle w:val="BodyText"/>
      </w:pPr>
      <w:r>
        <w:t xml:space="preserve">Advocates License No. KBA/2019/0456 | ICPC Reg. No. 2020/789</w:t>
      </w:r>
    </w:p>
    <w:bookmarkEnd w:id="20"/>
    <w:p>
      <w:pPr>
        <w:pStyle w:val="BodyText"/>
      </w:pPr>
      <w:r>
        <w:t xml:space="preserve">Quotation Estimate for Legal Services</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WAA/QE/2025/0087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Adv. Grace Wanjiku Mwangi</w:t>
      </w:r>
    </w:p>
    <w:p>
      <w:pPr>
        <w:pStyle w:val="BodyText"/>
      </w:pPr>
      <w:r>
        <w:rPr>
          <w:bCs/>
          <w:b/>
        </w:rPr>
        <w:t xml:space="preserve">Location:</w:t>
      </w:r>
      <w:r>
        <w:t xml:space="preserve"> </w:t>
      </w:r>
      <w:r>
        <w:t xml:space="preserve">Nairobi, Kenya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David Ochieng' Kamau</w:t>
      </w:r>
    </w:p>
    <w:p>
      <w:pPr>
        <w:pStyle w:val="BodyText"/>
      </w:pPr>
      <w:r>
        <w:rPr>
          <w:bCs/>
          <w:b/>
        </w:rPr>
        <w:t xml:space="preserve">Company:</w:t>
      </w:r>
      <w:r>
        <w:t xml:space="preserve"> </w:t>
      </w:r>
      <w:r>
        <w:t xml:space="preserve">Kamau Enterprises Ltd.</w:t>
      </w:r>
    </w:p>
    <w:p>
      <w:pPr>
        <w:pStyle w:val="BodyText"/>
      </w:pPr>
      <w:r>
        <w:rPr>
          <w:bCs/>
          <w:b/>
        </w:rPr>
        <w:t xml:space="preserve">Address:</w:t>
      </w:r>
      <w:r>
        <w:t xml:space="preserve"> </w:t>
      </w:r>
      <w:r>
        <w:t xml:space="preserve">Plot 23, Muthaiga, Nairobi, Kenya</w:t>
      </w:r>
    </w:p>
    <w:p>
      <w:pPr>
        <w:pStyle w:val="BodyText"/>
      </w:pPr>
      <w:r>
        <w:rPr>
          <w:bCs/>
          <w:b/>
        </w:rPr>
        <w:t xml:space="preserve">National ID:</w:t>
      </w:r>
      <w:r>
        <w:t xml:space="preserve"> </w:t>
      </w:r>
      <w:r>
        <w:t xml:space="preserve">12345678</w:t>
      </w:r>
    </w:p>
    <w:p>
      <w:pPr>
        <w:pStyle w:val="BodyText"/>
      </w:pPr>
      <w:r>
        <w:rPr>
          <w:bCs/>
          <w:b/>
        </w:rPr>
        <w:t xml:space="preserve">Contact:</w:t>
      </w:r>
      <w:r>
        <w:t xml:space="preserve"> </w:t>
      </w:r>
      <w:r>
        <w:t xml:space="preserve">+254 711 987 654</w:t>
      </w:r>
    </w:p>
    <w:p>
      <w:pPr>
        <w:pStyle w:val="BodyText"/>
      </w:pPr>
      <w:r>
        <w:rPr>
          <w:bCs/>
          <w:b/>
        </w:rPr>
        <w:t xml:space="preserve">Email:</w:t>
      </w:r>
      <w:r>
        <w:t xml:space="preserve"> </w:t>
      </w:r>
      <w:r>
        <w:t xml:space="preserve">d.kamau@kamauenterprises.co.ke</w:t>
      </w:r>
    </w:p>
    <w:bookmarkEnd w:id="22"/>
    <w:p>
      <w:pPr>
        <w:pStyle w:val="BodyText"/>
      </w:pPr>
      <w:r>
        <w:t xml:space="preserve">Dear Mr. Kamau,</w:t>
      </w:r>
    </w:p>
    <w:p>
      <w:pPr>
        <w:pStyle w:val="BodyText"/>
      </w:pPr>
      <w:r>
        <w:t xml:space="preserve">Thank you for engaging</w:t>
      </w:r>
      <w:r>
        <w:t xml:space="preserve"> </w:t>
      </w:r>
      <w:r>
        <w:t xml:space="preserve">Wanjiku &amp; Associates Advocates</w:t>
      </w:r>
      <w:r>
        <w:t xml:space="preserve"> </w:t>
      </w:r>
      <w:r>
        <w:t xml:space="preserve">to provide professional legal counsel and representation. This</w:t>
      </w:r>
      <w:r>
        <w:t xml:space="preserve"> </w:t>
      </w:r>
      <w:r>
        <w:t xml:space="preserve">Quotation Estimate</w:t>
      </w:r>
      <w:r>
        <w:t xml:space="preserve"> </w:t>
      </w:r>
      <w:r>
        <w:t xml:space="preserve">outlines the comprehensive scope of legal services that our</w:t>
      </w:r>
      <w:r>
        <w:t xml:space="preserve"> </w:t>
      </w:r>
      <w:r>
        <w:t xml:space="preserve">Lawyer</w:t>
      </w:r>
      <w:r>
        <w:t xml:space="preserve"> </w:t>
      </w:r>
      <w:r>
        <w:t xml:space="preserve">team in</w:t>
      </w:r>
      <w:r>
        <w:t xml:space="preserve"> </w:t>
      </w:r>
      <w:r>
        <w:t xml:space="preserve">Nairobi, Kenya</w:t>
      </w:r>
      <w:r>
        <w:t xml:space="preserve"> </w:t>
      </w:r>
      <w:r>
        <w:t xml:space="preserve">will deliver on your behalf. All fees quoted herein are in Kenyan Shillings (KES) and are subject to the terms and conditions stated below. This Quotation Estimate is prepared in accordance with the Advocates (Remuneration) Rules and the prevailing legal practice standards in Kenya.</w:t>
      </w:r>
    </w:p>
    <w:bookmarkStart w:id="23" w:name="scope-of-legal-services"/>
    <w:p>
      <w:pPr>
        <w:pStyle w:val="Heading2"/>
      </w:pPr>
      <w:r>
        <w:t xml:space="preserve">Scope of Legal Services</w:t>
      </w:r>
    </w:p>
    <w:p>
      <w:pPr>
        <w:pStyle w:val="FirstParagraph"/>
      </w:pPr>
      <w:r>
        <w:t xml:space="preserve">The following</w:t>
      </w:r>
      <w:r>
        <w:t xml:space="preserve"> </w:t>
      </w:r>
      <w:r>
        <w:t xml:space="preserve">Lawyer</w:t>
      </w:r>
      <w:r>
        <w:t xml:space="preserve"> </w:t>
      </w:r>
      <w:r>
        <w:t xml:space="preserve">services are included in this Quotation Estimate for the matter concerning the commercial property dispute and associated contract enforcement in Nairobi, Kenya: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Legal Service</w:t>
            </w:r>
          </w:p>
        </w:tc>
        <w:tc>
          <w:tcPr/>
          <w:p>
            <w:pPr>
              <w:pStyle w:val="Compact"/>
              <w:jc w:val="left"/>
            </w:pPr>
            <w:r>
              <w:t xml:space="preserve">Estimated Hours</w:t>
            </w:r>
          </w:p>
        </w:tc>
        <w:tc>
          <w:tcPr/>
          <w:p>
            <w:pPr>
              <w:pStyle w:val="Compact"/>
              <w:jc w:val="left"/>
            </w:pPr>
            <w:r>
              <w:t xml:space="preserve">Rate (KES/hr)</w:t>
            </w:r>
          </w:p>
        </w:tc>
        <w:tc>
          <w:tcPr/>
          <w:p>
            <w:pPr>
              <w:pStyle w:val="Compact"/>
              <w:jc w:val="left"/>
            </w:pPr>
            <w:r>
              <w:t xml:space="preserve">Subtotal (KES)</w:t>
            </w:r>
          </w:p>
        </w:tc>
      </w:tr>
      <w:tr>
        <w:tc>
          <w:tcPr/>
          <w:p>
            <w:pPr>
              <w:pStyle w:val="Compact"/>
              <w:jc w:val="left"/>
            </w:pPr>
            <w:r>
              <w:t xml:space="preserve">1</w:t>
            </w:r>
          </w:p>
        </w:tc>
        <w:tc>
          <w:tcPr/>
          <w:p>
            <w:pPr>
              <w:pStyle w:val="Compact"/>
              <w:jc w:val="left"/>
            </w:pPr>
            <w:r>
              <w:t xml:space="preserve">Initial legal consultation and case assessment by a senior Lawyer at our Nairobi office</w:t>
            </w:r>
          </w:p>
        </w:tc>
        <w:tc>
          <w:tcPr/>
          <w:p>
            <w:pPr>
              <w:pStyle w:val="Compact"/>
              <w:jc w:val="left"/>
            </w:pPr>
            <w:r>
              <w:t xml:space="preserve">3</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2</w:t>
            </w:r>
          </w:p>
        </w:tc>
        <w:tc>
          <w:tcPr/>
          <w:p>
            <w:pPr>
              <w:pStyle w:val="Compact"/>
              <w:jc w:val="left"/>
            </w:pPr>
            <w:r>
              <w:t xml:space="preserve">Review and analysis of existing commercial lease agreements, title documents, and correspondence</w:t>
            </w:r>
          </w:p>
        </w:tc>
        <w:tc>
          <w:tcPr/>
          <w:p>
            <w:pPr>
              <w:pStyle w:val="Compact"/>
              <w:jc w:val="left"/>
            </w:pPr>
            <w:r>
              <w:t xml:space="preserve">8</w:t>
            </w:r>
          </w:p>
        </w:tc>
        <w:tc>
          <w:tcPr/>
          <w:p>
            <w:pPr>
              <w:pStyle w:val="Compact"/>
              <w:jc w:val="left"/>
            </w:pPr>
            <w:r>
              <w:t xml:space="preserve">7,000</w:t>
            </w:r>
          </w:p>
        </w:tc>
        <w:tc>
          <w:tcPr/>
          <w:p>
            <w:pPr>
              <w:pStyle w:val="Compact"/>
              <w:jc w:val="left"/>
            </w:pPr>
            <w:r>
              <w:t xml:space="preserve">56,000</w:t>
            </w:r>
          </w:p>
        </w:tc>
      </w:tr>
      <w:tr>
        <w:tc>
          <w:tcPr/>
          <w:p>
            <w:pPr>
              <w:pStyle w:val="Compact"/>
              <w:jc w:val="left"/>
            </w:pPr>
            <w:r>
              <w:t xml:space="preserve">3</w:t>
            </w:r>
          </w:p>
        </w:tc>
        <w:tc>
          <w:tcPr/>
          <w:p>
            <w:pPr>
              <w:pStyle w:val="Compact"/>
              <w:jc w:val="left"/>
            </w:pPr>
            <w:r>
              <w:t xml:space="preserve">Drafting and service of a formal legal notice (Letter of Demand) to the opposing party</w:t>
            </w:r>
          </w:p>
        </w:tc>
        <w:tc>
          <w:tcPr/>
          <w:p>
            <w:pPr>
              <w:pStyle w:val="Compact"/>
              <w:jc w:val="left"/>
            </w:pPr>
            <w:r>
              <w:t xml:space="preserve">4</w:t>
            </w:r>
          </w:p>
        </w:tc>
        <w:tc>
          <w:tcPr/>
          <w:p>
            <w:pPr>
              <w:pStyle w:val="Compact"/>
              <w:jc w:val="left"/>
            </w:pPr>
            <w:r>
              <w:t xml:space="preserve">7,000</w:t>
            </w:r>
          </w:p>
        </w:tc>
        <w:tc>
          <w:tcPr/>
          <w:p>
            <w:pPr>
              <w:pStyle w:val="Compact"/>
              <w:jc w:val="left"/>
            </w:pPr>
            <w:r>
              <w:t xml:space="preserve">28,000</w:t>
            </w:r>
          </w:p>
        </w:tc>
      </w:tr>
      <w:tr>
        <w:tc>
          <w:tcPr/>
          <w:p>
            <w:pPr>
              <w:pStyle w:val="Compact"/>
              <w:jc w:val="left"/>
            </w:pPr>
            <w:r>
              <w:t xml:space="preserve">4</w:t>
            </w:r>
          </w:p>
        </w:tc>
        <w:tc>
          <w:tcPr/>
          <w:p>
            <w:pPr>
              <w:pStyle w:val="Compact"/>
              <w:jc w:val="left"/>
            </w:pPr>
            <w:r>
              <w:t xml:space="preserve">Preparation and filing of a Statement of Claim at the Nairobi High Court, Milimani Law Courts</w:t>
            </w:r>
          </w:p>
        </w:tc>
        <w:tc>
          <w:tcPr/>
          <w:p>
            <w:pPr>
              <w:pStyle w:val="Compact"/>
              <w:jc w:val="left"/>
            </w:pPr>
            <w:r>
              <w:t xml:space="preserve">10</w:t>
            </w:r>
          </w:p>
        </w:tc>
        <w:tc>
          <w:tcPr/>
          <w:p>
            <w:pPr>
              <w:pStyle w:val="Compact"/>
              <w:jc w:val="left"/>
            </w:pPr>
            <w:r>
              <w:t xml:space="preserve">7,000</w:t>
            </w:r>
          </w:p>
        </w:tc>
        <w:tc>
          <w:tcPr/>
          <w:p>
            <w:pPr>
              <w:pStyle w:val="Compact"/>
              <w:jc w:val="left"/>
            </w:pPr>
            <w:r>
              <w:t xml:space="preserve">70,000</w:t>
            </w:r>
          </w:p>
        </w:tc>
      </w:tr>
      <w:tr>
        <w:tc>
          <w:tcPr/>
          <w:p>
            <w:pPr>
              <w:pStyle w:val="Compact"/>
              <w:jc w:val="left"/>
            </w:pPr>
            <w:r>
              <w:t xml:space="preserve">5</w:t>
            </w:r>
          </w:p>
        </w:tc>
        <w:tc>
          <w:tcPr/>
          <w:p>
            <w:pPr>
              <w:pStyle w:val="Compact"/>
              <w:jc w:val="left"/>
            </w:pPr>
            <w:r>
              <w:t xml:space="preserve">Representation at preliminary hearings, case management conferences, and interlocutory applications</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6</w:t>
            </w:r>
          </w:p>
        </w:tc>
        <w:tc>
          <w:tcPr/>
          <w:p>
            <w:pPr>
              <w:pStyle w:val="Compact"/>
              <w:jc w:val="left"/>
            </w:pPr>
            <w:r>
              <w:t xml:space="preserve">Discovery and disclosure of documents; preparation of witness statements and expert reports</w:t>
            </w:r>
          </w:p>
        </w:tc>
        <w:tc>
          <w:tcPr/>
          <w:p>
            <w:pPr>
              <w:pStyle w:val="Compact"/>
              <w:jc w:val="left"/>
            </w:pPr>
            <w:r>
              <w:t xml:space="preserve">15</w:t>
            </w:r>
          </w:p>
        </w:tc>
        <w:tc>
          <w:tcPr/>
          <w:p>
            <w:pPr>
              <w:pStyle w:val="Compact"/>
              <w:jc w:val="left"/>
            </w:pPr>
            <w:r>
              <w:t xml:space="preserve">6,500</w:t>
            </w:r>
          </w:p>
        </w:tc>
        <w:tc>
          <w:tcPr/>
          <w:p>
            <w:pPr>
              <w:pStyle w:val="Compact"/>
              <w:jc w:val="left"/>
            </w:pPr>
            <w:r>
              <w:t xml:space="preserve">97,500</w:t>
            </w:r>
          </w:p>
        </w:tc>
      </w:tr>
      <w:tr>
        <w:tc>
          <w:tcPr/>
          <w:p>
            <w:pPr>
              <w:pStyle w:val="Compact"/>
              <w:jc w:val="left"/>
            </w:pPr>
            <w:r>
              <w:t xml:space="preserve">7</w:t>
            </w:r>
          </w:p>
        </w:tc>
        <w:tc>
          <w:tcPr/>
          <w:p>
            <w:pPr>
              <w:pStyle w:val="Compact"/>
              <w:jc w:val="left"/>
            </w:pPr>
            <w:r>
              <w:t xml:space="preserve">Full trial representation before a Judge of the Nairobi High Court (estimated 5 court days)</w:t>
            </w:r>
          </w:p>
        </w:tc>
        <w:tc>
          <w:tcPr/>
          <w:p>
            <w:pPr>
              <w:pStyle w:val="Compact"/>
              <w:jc w:val="left"/>
            </w:pPr>
            <w:r>
              <w:t xml:space="preserve">40</w:t>
            </w:r>
          </w:p>
        </w:tc>
        <w:tc>
          <w:tcPr/>
          <w:p>
            <w:pPr>
              <w:pStyle w:val="Compact"/>
              <w:jc w:val="left"/>
            </w:pPr>
            <w:r>
              <w:t xml:space="preserve">9,000</w:t>
            </w:r>
          </w:p>
        </w:tc>
        <w:tc>
          <w:tcPr/>
          <w:p>
            <w:pPr>
              <w:pStyle w:val="Compact"/>
              <w:jc w:val="left"/>
            </w:pPr>
            <w:r>
              <w:t xml:space="preserve">360,000</w:t>
            </w:r>
          </w:p>
        </w:tc>
      </w:tr>
      <w:tr>
        <w:tc>
          <w:tcPr/>
          <w:p>
            <w:pPr>
              <w:pStyle w:val="Compact"/>
              <w:jc w:val="left"/>
            </w:pPr>
            <w:r>
              <w:t xml:space="preserve">8</w:t>
            </w:r>
          </w:p>
        </w:tc>
        <w:tc>
          <w:tcPr/>
          <w:p>
            <w:pPr>
              <w:pStyle w:val="Compact"/>
              <w:jc w:val="left"/>
            </w:pPr>
            <w:r>
              <w:t xml:space="preserve">Post-judgment enforcement, execution of decree, and recovery of awarded damages</w:t>
            </w:r>
          </w:p>
        </w:tc>
        <w:tc>
          <w:tcPr/>
          <w:p>
            <w:pPr>
              <w:pStyle w:val="Compact"/>
              <w:jc w:val="left"/>
            </w:pPr>
            <w:r>
              <w:t xml:space="preserve">8</w:t>
            </w:r>
          </w:p>
        </w:tc>
        <w:tc>
          <w:tcPr/>
          <w:p>
            <w:pPr>
              <w:pStyle w:val="Compact"/>
              <w:jc w:val="left"/>
            </w:pPr>
            <w:r>
              <w:t xml:space="preserve">7,000</w:t>
            </w:r>
          </w:p>
        </w:tc>
        <w:tc>
          <w:tcPr/>
          <w:p>
            <w:pPr>
              <w:pStyle w:val="Compact"/>
              <w:jc w:val="left"/>
            </w:pPr>
            <w:r>
              <w:t xml:space="preserve">56,000</w:t>
            </w:r>
          </w:p>
        </w:tc>
      </w:tr>
      <w:tr>
        <w:tc>
          <w:tcPr/>
          <w:p>
            <w:pPr>
              <w:pStyle w:val="Compact"/>
              <w:jc w:val="left"/>
            </w:pPr>
            <w:r>
              <w:t xml:space="preserve">9</w:t>
            </w:r>
          </w:p>
        </w:tc>
        <w:tc>
          <w:tcPr/>
          <w:p>
            <w:pPr>
              <w:pStyle w:val="Compact"/>
              <w:jc w:val="left"/>
            </w:pPr>
            <w:r>
              <w:t xml:space="preserve">General correspondence, file management, and ongoing advisory support throughout the matter</w:t>
            </w:r>
          </w:p>
        </w:tc>
        <w:tc>
          <w:tcPr/>
          <w:p>
            <w:pPr>
              <w:pStyle w:val="Compact"/>
              <w:jc w:val="left"/>
            </w:pPr>
            <w:r>
              <w:t xml:space="preserve">10</w:t>
            </w:r>
          </w:p>
        </w:tc>
        <w:tc>
          <w:tcPr/>
          <w:p>
            <w:pPr>
              <w:pStyle w:val="Compact"/>
              <w:jc w:val="left"/>
            </w:pPr>
            <w:r>
              <w:t xml:space="preserve">5,500</w:t>
            </w:r>
          </w:p>
        </w:tc>
        <w:tc>
          <w:tcPr/>
          <w:p>
            <w:pPr>
              <w:pStyle w:val="Compact"/>
              <w:jc w:val="left"/>
            </w:pPr>
            <w:r>
              <w:t xml:space="preserve">55,000</w:t>
            </w:r>
          </w:p>
        </w:tc>
      </w:tr>
      <w:tr>
        <w:tc>
          <w:tcPr>
            <w:gridSpan w:val="4"/>
          </w:tcPr>
          <w:p>
            <w:pPr>
              <w:pStyle w:val="Compact"/>
              <w:jc w:val="right"/>
            </w:pPr>
            <w:r>
              <w:t xml:space="preserve">TOTAL ESTIMATED PROFESSIONAL FEES</w:t>
            </w:r>
          </w:p>
        </w:tc>
        <w:tc>
          <w:tcPr/>
          <w:p>
            <w:pPr>
              <w:pStyle w:val="Compact"/>
              <w:jc w:val="left"/>
            </w:pPr>
            <w:r>
              <w:t xml:space="preserve">KES 850,000</w:t>
            </w:r>
          </w:p>
        </w:tc>
      </w:tr>
    </w:tbl>
    <w:bookmarkEnd w:id="23"/>
    <w:bookmarkStart w:id="24" w:name="additional-costs-and-disbursements"/>
    <w:p>
      <w:pPr>
        <w:pStyle w:val="Heading2"/>
      </w:pPr>
      <w:r>
        <w:t xml:space="preserve">Additional Costs and Disbursements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(KES)</w:t>
            </w:r>
          </w:p>
        </w:tc>
      </w:tr>
      <w:tr>
        <w:tc>
          <w:tcPr/>
          <w:p>
            <w:pPr>
              <w:pStyle w:val="Compact"/>
              <w:jc w:val="left"/>
            </w:pPr>
            <w:r>
              <w:t xml:space="preserve">Court filing fees and stamp duty (Nairobi High Court)</w:t>
            </w:r>
          </w:p>
        </w:tc>
        <w:tc>
          <w:tcPr/>
          <w:p>
            <w:pPr>
              <w:pStyle w:val="Compact"/>
              <w:jc w:val="left"/>
            </w:pPr>
            <w:r>
              <w:t xml:space="preserve">15,000</w:t>
            </w:r>
          </w:p>
        </w:tc>
      </w:tr>
      <w:tr>
        <w:tc>
          <w:tcPr/>
          <w:p>
            <w:pPr>
              <w:pStyle w:val="Compact"/>
              <w:jc w:val="left"/>
            </w:pPr>
            <w:r>
              <w:t xml:space="preserve">Service of process and court process fees</w:t>
            </w:r>
          </w:p>
        </w:tc>
        <w:tc>
          <w:tcPr/>
          <w:p>
            <w:pPr>
              <w:pStyle w:val="Compact"/>
              <w:jc w:val="left"/>
            </w:pPr>
            <w:r>
              <w:t xml:space="preserve">8,500</w:t>
            </w:r>
          </w:p>
        </w:tc>
      </w:tr>
      <w:tr>
        <w:tc>
          <w:tcPr/>
          <w:p>
            <w:pPr>
              <w:pStyle w:val="Compact"/>
              <w:jc w:val="left"/>
            </w:pPr>
            <w:r>
              <w:t xml:space="preserve">Photocopying, printing, and document reproduction</w:t>
            </w:r>
          </w:p>
        </w:tc>
        <w:tc>
          <w:tcPr/>
          <w:p>
            <w:pPr>
              <w:pStyle w:val="Compact"/>
              <w:jc w:val="left"/>
            </w:pPr>
            <w:r>
              <w:t xml:space="preserve">12,000</w:t>
            </w:r>
          </w:p>
        </w:tc>
      </w:tr>
      <w:tr>
        <w:tc>
          <w:tcPr/>
          <w:p>
            <w:pPr>
              <w:pStyle w:val="Compact"/>
              <w:jc w:val="left"/>
            </w:pPr>
            <w:r>
              <w:t xml:space="preserve">Travel and transport within Nairobi and environs</w:t>
            </w:r>
          </w:p>
        </w:tc>
        <w:tc>
          <w:tcPr/>
          <w:p>
            <w:pPr>
              <w:pStyle w:val="Compact"/>
              <w:jc w:val="left"/>
            </w:pPr>
            <w:r>
              <w:t xml:space="preserve">10,000</w:t>
            </w:r>
          </w:p>
        </w:tc>
      </w:tr>
      <w:tr>
        <w:tc>
          <w:tcPr/>
          <w:p>
            <w:pPr>
              <w:pStyle w:val="Compact"/>
              <w:jc w:val="left"/>
            </w:pPr>
            <w:r>
              <w:t xml:space="preserve">Expert witness fees (surveyor and valuer)</w:t>
            </w:r>
          </w:p>
        </w:tc>
        <w:tc>
          <w:tcPr/>
          <w:p>
            <w:pPr>
              <w:pStyle w:val="Compact"/>
              <w:jc w:val="left"/>
            </w:pPr>
            <w:r>
              <w:t xml:space="preserve">45,000</w:t>
            </w:r>
          </w:p>
        </w:tc>
      </w:tr>
      <w:tr>
        <w:tc>
          <w:tcPr/>
          <w:p>
            <w:pPr>
              <w:pStyle w:val="Compact"/>
              <w:jc w:val="left"/>
            </w:pPr>
            <w:r>
              <w:t xml:space="preserve">Value Added Tax (VAT) at 16%</w:t>
            </w:r>
          </w:p>
        </w:tc>
        <w:tc>
          <w:tcPr/>
          <w:p>
            <w:pPr>
              <w:pStyle w:val="Compact"/>
              <w:jc w:val="left"/>
            </w:pPr>
            <w:r>
              <w:t xml:space="preserve">144,000</w:t>
            </w:r>
          </w:p>
        </w:tc>
      </w:tr>
      <w:tr>
        <w:tc>
          <w:tcPr/>
          <w:p>
            <w:pPr>
              <w:pStyle w:val="Compact"/>
              <w:jc w:val="right"/>
            </w:pPr>
            <w:r>
              <w:t xml:space="preserve">TOTAL ADDITIONAL COSTS</w:t>
            </w:r>
          </w:p>
        </w:tc>
        <w:tc>
          <w:tcPr/>
          <w:p>
            <w:pPr>
              <w:pStyle w:val="Compact"/>
              <w:jc w:val="left"/>
            </w:pPr>
            <w:r>
              <w:t xml:space="preserve">KES 234,500</w:t>
            </w:r>
          </w:p>
        </w:tc>
      </w:tr>
    </w:tbl>
    <w:bookmarkEnd w:id="24"/>
    <w:bookmarkStart w:id="25" w:name="grand-total-of-this-quotation-estimate"/>
    <w:p>
      <w:pPr>
        <w:pStyle w:val="Heading2"/>
      </w:pPr>
      <w:r>
        <w:t xml:space="preserve">Grand Total of This Quotation Estimate</w:t>
      </w:r>
    </w:p>
    <w:p>
      <w:pPr>
        <w:pStyle w:val="FirstParagraph"/>
      </w:pPr>
      <w:r>
        <w:t xml:space="preserve">Total Estimated Cost: KES 1,084,500 (One Million, Eighty-Four Thousand, Five Hundred Kenyan Shillings Only)</w:t>
      </w:r>
    </w:p>
    <w:bookmarkEnd w:id="25"/>
    <w:bookmarkStart w:id="26" w:name="terms-and-conditions"/>
    <w:p>
      <w:pPr>
        <w:pStyle w:val="Heading2"/>
      </w:pPr>
      <w:r>
        <w:t xml:space="preserve">Terms and Conditions</w:t>
      </w:r>
    </w:p>
    <w:p>
      <w:pPr>
        <w:numPr>
          <w:ilvl w:val="0"/>
          <w:numId w:val="1001"/>
        </w:numPr>
        <w:pStyle w:val="Compact"/>
      </w:pPr>
      <w:r>
        <w:t xml:space="preserve">This Quotation Estimate is valid for a period of thirty (30) days from the date of issue. Upon expiry, the</w:t>
      </w:r>
      <w:r>
        <w:t xml:space="preserve"> </w:t>
      </w:r>
      <w:r>
        <w:t xml:space="preserve">Lawyer</w:t>
      </w:r>
      <w:r>
        <w:t xml:space="preserve"> </w:t>
      </w:r>
      <w:r>
        <w:t xml:space="preserve">fees and rates may be subject to revision based on prevailing market conditions in Nairobi, Kenya.</w:t>
      </w:r>
    </w:p>
    <w:p>
      <w:pPr>
        <w:numPr>
          <w:ilvl w:val="0"/>
          <w:numId w:val="1001"/>
        </w:numPr>
        <w:pStyle w:val="Compact"/>
      </w:pPr>
      <w:r>
        <w:t xml:space="preserve">A retainer fee of twenty-five percent (25%) of the total professional fees, amounting to KES 212,500, is payable upon acceptance of this Quotation Estimate to secure the engagement of our legal team.</w:t>
      </w:r>
    </w:p>
    <w:p>
      <w:pPr>
        <w:numPr>
          <w:ilvl w:val="0"/>
          <w:numId w:val="1001"/>
        </w:numPr>
        <w:pStyle w:val="Compact"/>
      </w:pPr>
      <w:r>
        <w:t xml:space="preserve">Subsequent payments shall be made in monthly installments as the matter progresses, with invoices issued at the end of each calendar month for services rendered.</w:t>
      </w:r>
    </w:p>
    <w:p>
      <w:pPr>
        <w:numPr>
          <w:ilvl w:val="0"/>
          <w:numId w:val="1001"/>
        </w:numPr>
        <w:pStyle w:val="Compact"/>
      </w:pPr>
      <w:r>
        <w:t xml:space="preserve">All disbursements and out-of-pocket expenses are to be reimbursed by the client within fourteen (14) days of presentation of receipts and itemized statements.</w:t>
      </w:r>
    </w:p>
    <w:p>
      <w:pPr>
        <w:numPr>
          <w:ilvl w:val="0"/>
          <w:numId w:val="1001"/>
        </w:numPr>
        <w:pStyle w:val="Compact"/>
      </w:pPr>
      <w:r>
        <w:t xml:space="preserve">This Quotation Estimate is an estimate only and does not constitute a fixed-fee agreement. Actual costs may vary depending on the complexity of the matter, the number of court appearances required, and any unforeseen procedural developments in the Nairobi High Court proceedings.</w:t>
      </w:r>
    </w:p>
    <w:p>
      <w:pPr>
        <w:numPr>
          <w:ilvl w:val="0"/>
          <w:numId w:val="1001"/>
        </w:numPr>
        <w:pStyle w:val="Compact"/>
      </w:pPr>
      <w:r>
        <w:t xml:space="preserve">The</w:t>
      </w:r>
      <w:r>
        <w:t xml:space="preserve"> </w:t>
      </w:r>
      <w:r>
        <w:t xml:space="preserve">Lawyer</w:t>
      </w:r>
      <w:r>
        <w:t xml:space="preserve"> </w:t>
      </w:r>
      <w:r>
        <w:t xml:space="preserve">assigned to this matter shall be Adv. Grace Wanjiku Mwangi, supported by a team of two (2) associate lawyers and one (1) legal assistant based at our Nairobi office on Waiyaki Way.</w:t>
      </w:r>
    </w:p>
    <w:p>
      <w:pPr>
        <w:numPr>
          <w:ilvl w:val="0"/>
          <w:numId w:val="1001"/>
        </w:numPr>
        <w:pStyle w:val="Compact"/>
      </w:pPr>
      <w:r>
        <w:t xml:space="preserve">All communications, documents, and correspondence related to this engagement shall be conducted in English, in accordance with the Official Languages Act of Kenya.</w:t>
      </w:r>
    </w:p>
    <w:p>
      <w:pPr>
        <w:numPr>
          <w:ilvl w:val="0"/>
          <w:numId w:val="1001"/>
        </w:numPr>
        <w:pStyle w:val="Compact"/>
      </w:pPr>
      <w:r>
        <w:t xml:space="preserve">This Quotation Estimate is governed by the laws of the Republic of Kenya, and any disputes arising from this engagement shall be subject to the exclusive jurisdiction of the courts in Nairobi, Kenya.</w:t>
      </w:r>
    </w:p>
    <w:p>
      <w:pPr>
        <w:numPr>
          <w:ilvl w:val="0"/>
          <w:numId w:val="1001"/>
        </w:numPr>
        <w:pStyle w:val="Compact"/>
      </w:pPr>
      <w:r>
        <w:t xml:space="preserve">Confidentiality: All information provided by the client to our</w:t>
      </w:r>
      <w:r>
        <w:t xml:space="preserve"> </w:t>
      </w:r>
      <w:r>
        <w:t xml:space="preserve">Lawyer</w:t>
      </w:r>
      <w:r>
        <w:t xml:space="preserve"> </w:t>
      </w:r>
      <w:r>
        <w:t xml:space="preserve">team shall be treated in the strictest confidence in accordance with the Advocates Act, Cap 30 of the Laws of Kenya, and the rules of professional conduct of the Law Society of Kenya.</w:t>
      </w:r>
    </w:p>
    <w:p>
      <w:pPr>
        <w:numPr>
          <w:ilvl w:val="0"/>
          <w:numId w:val="1001"/>
        </w:numPr>
        <w:pStyle w:val="Compact"/>
      </w:pPr>
      <w:r>
        <w:t xml:space="preserve">Acceptance of this Quotation Estimate shall be deemed by the client's written signature below or by payment of the retainer fee, whichever occurs first.</w:t>
      </w:r>
    </w:p>
    <w:bookmarkEnd w:id="26"/>
    <w:bookmarkStart w:id="27" w:name="acceptance-and-authorization"/>
    <w:p>
      <w:pPr>
        <w:pStyle w:val="Heading2"/>
      </w:pPr>
      <w:r>
        <w:t xml:space="preserve">Acceptance and Authorization</w:t>
      </w:r>
    </w:p>
    <w:p>
      <w:pPr>
        <w:pStyle w:val="FirstParagraph"/>
      </w:pPr>
      <w:r>
        <w:t xml:space="preserve">By signing below, the client acknowledges receipt of this Quotation Estimate and agrees to the terms, conditions, and fee structure outlined herein for the legal services to be provided by our</w:t>
      </w:r>
      <w:r>
        <w:t xml:space="preserve"> </w:t>
      </w:r>
      <w:r>
        <w:t xml:space="preserve">Lawyer</w:t>
      </w:r>
      <w:r>
        <w:t xml:space="preserve"> </w:t>
      </w:r>
      <w:r>
        <w:t xml:space="preserve">team in</w:t>
      </w:r>
      <w:r>
        <w:t xml:space="preserve"> </w:t>
      </w:r>
      <w:r>
        <w:t xml:space="preserve">Nairobi, Kenya</w:t>
      </w:r>
      <w:r>
        <w:t xml:space="preserve">.</w:t>
      </w:r>
    </w:p>
    <w:p>
      <w:pPr>
        <w:pStyle w:val="BodyText"/>
      </w:pPr>
      <w:r>
        <w:rPr>
          <w:bCs/>
          <w:b/>
        </w:rPr>
        <w:t xml:space="preserve">For and on behalf of Wanjiku &amp; Associates Advocates</w:t>
      </w:r>
      <w:r>
        <w:br/>
      </w:r>
      <w:r>
        <w:t xml:space="preserve">Adv. Grace Wanjiku Mwangi</w:t>
      </w:r>
      <w:r>
        <w:br/>
      </w:r>
      <w:r>
        <w:t xml:space="preserve">Senior Partner / Lead Lawyer</w:t>
      </w:r>
      <w:r>
        <w:br/>
      </w:r>
      <w:r>
        <w:t xml:space="preserve">Date: ______________________</w:t>
      </w:r>
    </w:p>
    <w:p>
      <w:pPr>
        <w:pStyle w:val="BodyText"/>
      </w:pPr>
      <w:r>
        <w:rPr>
          <w:bCs/>
          <w:b/>
        </w:rPr>
        <w:t xml:space="preserve">Client Acceptance</w:t>
      </w:r>
      <w:r>
        <w:br/>
      </w:r>
      <w:r>
        <w:t xml:space="preserve">Mr. David Ochieng' Kamau</w:t>
      </w:r>
      <w:r>
        <w:br/>
      </w:r>
      <w:r>
        <w:t xml:space="preserve">Kamau Enterprises Ltd.</w:t>
      </w:r>
      <w:r>
        <w:br/>
      </w:r>
      <w:r>
        <w:t xml:space="preserve">Date: ______________________</w:t>
      </w:r>
    </w:p>
    <w:p>
      <w:pPr>
        <w:pStyle w:val="BodyText"/>
      </w:pPr>
      <w:r>
        <w:t xml:space="preserve">Wanjiku &amp; Associates Advocates | Suite 412, The Oval Office, Waiyaki Way, Nairobi, Kenya</w:t>
      </w:r>
    </w:p>
    <w:p>
      <w:pPr>
        <w:pStyle w:val="BodyText"/>
      </w:pPr>
      <w:r>
        <w:t xml:space="preserve">This Quotation Estimate is a confidential document intended solely for the named client. Unauthorized reproduction or distribution is prohibited.</w:t>
      </w:r>
    </w:p>
    <w:p>
      <w:pPr>
        <w:pStyle w:val="BodyText"/>
      </w:pPr>
      <w:r>
        <w:t xml:space="preserve">Document Reference: WAA/QE/2025/0087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Nairobi, Kenya</dc:title>
  <dc:creator/>
  <dc:language>en</dc:language>
  <cp:keywords/>
  <dcterms:created xsi:type="dcterms:W3CDTF">2026-10-10T09:14:05Z</dcterms:created>
  <dcterms:modified xsi:type="dcterms:W3CDTF">2026-10-10T09:14:05Z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