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Legal</w:t>
      </w:r>
      <w:r>
        <w:t xml:space="preserve"> </w:t>
      </w:r>
      <w:r>
        <w:t xml:space="preserve">Services</w:t>
      </w:r>
      <w:r>
        <w:t xml:space="preserve"> </w:t>
      </w:r>
      <w:r>
        <w:t xml:space="preserve">-</w:t>
      </w:r>
      <w:r>
        <w:t xml:space="preserve"> </w:t>
      </w:r>
      <w:r>
        <w:t xml:space="preserve">Kuwait</w:t>
      </w:r>
      <w:r>
        <w:t xml:space="preserve"> </w:t>
      </w:r>
      <w:r>
        <w:t xml:space="preserve">Kuwait</w:t>
      </w:r>
      <w:r>
        <w:t xml:space="preserve"> </w:t>
      </w:r>
      <w:r>
        <w:t xml:space="preserve">City</w:t>
      </w:r>
    </w:p>
    <w:bookmarkStart w:id="20" w:name="quotation-estimate"/>
    <w:p>
      <w:pPr>
        <w:pStyle w:val="Heading1"/>
      </w:pPr>
      <w:r>
        <w:t xml:space="preserve">QUOTATION ESTIMATE</w:t>
      </w:r>
    </w:p>
    <w:p>
      <w:pPr>
        <w:pStyle w:val="FirstParagraph"/>
      </w:pPr>
      <w:r>
        <w:t xml:space="preserve">Professional Legal Services — Attorney at Law</w:t>
      </w:r>
    </w:p>
    <w:p>
      <w:pPr>
        <w:pStyle w:val="BodyText"/>
      </w:pPr>
      <w:r>
        <w:t xml:space="preserve">Al-Rashid &amp; Partners Legal Consultancy</w:t>
      </w:r>
    </w:p>
    <w:bookmarkEnd w:id="20"/>
    <w:bookmarkStart w:id="21" w:name="issued-by-lawyer-firm"/>
    <w:p>
      <w:pPr>
        <w:pStyle w:val="Heading3"/>
      </w:pPr>
      <w:r>
        <w:t xml:space="preserve">Issued By (Lawyer / Firm)</w:t>
      </w:r>
    </w:p>
    <w:p>
      <w:pPr>
        <w:pStyle w:val="FirstParagraph"/>
      </w:pPr>
      <w:r>
        <w:rPr>
          <w:bCs/>
          <w:b/>
        </w:rPr>
        <w:t xml:space="preserve">Al-Rashid &amp; Partners Legal Consultancy</w:t>
      </w:r>
      <w:r>
        <w:br/>
      </w:r>
      <w:r>
        <w:t xml:space="preserve">Office No. 14, 3rd Floor, Al-Salem Tower</w:t>
      </w:r>
      <w:r>
        <w:br/>
      </w:r>
      <w:r>
        <w:t xml:space="preserve">Al-Salem Street, Salmiya District</w:t>
      </w:r>
      <w:r>
        <w:br/>
      </w:r>
      <w:r>
        <w:rPr>
          <w:bCs/>
          <w:b/>
        </w:rPr>
        <w:t xml:space="preserve">Kuwait, Kuwait City</w:t>
      </w:r>
      <w:r>
        <w:br/>
      </w:r>
      <w:r>
        <w:t xml:space="preserve">P.O. Box 4521, Safat 13001, State of Kuwait</w:t>
      </w:r>
      <w:r>
        <w:br/>
      </w:r>
      <w:r>
        <w:t xml:space="preserve">Tel: +965 2244 7890</w:t>
      </w:r>
      <w:r>
        <w:br/>
      </w:r>
      <w:r>
        <w:t xml:space="preserve">Email: legal@alrashidpartners.kw</w:t>
      </w:r>
      <w:r>
        <w:br/>
      </w:r>
      <w:r>
        <w:t xml:space="preserve">Bar Registration No.: KW-2019-0487</w:t>
      </w:r>
    </w:p>
    <w:bookmarkEnd w:id="21"/>
    <w:bookmarkStart w:id="22" w:name="prepared-for-client"/>
    <w:p>
      <w:pPr>
        <w:pStyle w:val="Heading3"/>
      </w:pPr>
      <w:r>
        <w:t xml:space="preserve">Prepared For (Client)</w:t>
      </w:r>
    </w:p>
    <w:p>
      <w:pPr>
        <w:pStyle w:val="FirstParagraph"/>
      </w:pPr>
      <w:r>
        <w:rPr>
          <w:bCs/>
          <w:b/>
        </w:rPr>
        <w:t xml:space="preserve">Mr. / Ms. [Client Full Name]</w:t>
      </w:r>
      <w:r>
        <w:br/>
      </w:r>
      <w:r>
        <w:t xml:space="preserve">[Client Company / Individual Name]</w:t>
      </w:r>
      <w:r>
        <w:br/>
      </w:r>
      <w:r>
        <w:t xml:space="preserve">[Client Address]</w:t>
      </w:r>
      <w:r>
        <w:br/>
      </w:r>
      <w:r>
        <w:t xml:space="preserve">Kuwait, Kuwait City</w:t>
      </w:r>
      <w:r>
        <w:br/>
      </w:r>
      <w:r>
        <w:t xml:space="preserve">P.O. Box [XXXX], [District] 13XXX</w:t>
      </w:r>
      <w:r>
        <w:br/>
      </w:r>
      <w:r>
        <w:t xml:space="preserve">Tel: +965 [XXXXXXXX]</w:t>
      </w:r>
      <w:r>
        <w:br/>
      </w:r>
      <w:r>
        <w:t xml:space="preserve">Email: [client@email.com]</w:t>
      </w:r>
      <w:r>
        <w:br/>
      </w:r>
      <w:r>
        <w:t xml:space="preserve">C.R. No.: [XXXXXXXX]</w:t>
      </w:r>
    </w:p>
    <w:bookmarkEnd w:id="22"/>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Estimate No.:</w:t>
            </w:r>
          </w:p>
        </w:tc>
        <w:tc>
          <w:tcPr/>
          <w:p>
            <w:pPr>
              <w:pStyle w:val="Compact"/>
              <w:jc w:val="left"/>
            </w:pPr>
            <w:r>
              <w:t xml:space="preserve">QE-2025-KW-0347</w:t>
            </w:r>
          </w:p>
        </w:tc>
        <w:tc>
          <w:tcPr/>
          <w:p>
            <w:pPr>
              <w:pStyle w:val="Compact"/>
              <w:jc w:val="left"/>
            </w:pPr>
            <w:r>
              <w:t xml:space="preserve">Date of Issue:</w:t>
            </w:r>
          </w:p>
        </w:tc>
        <w:tc>
          <w:tcPr/>
          <w:p>
            <w:pPr>
              <w:pStyle w:val="Compact"/>
              <w:jc w:val="left"/>
            </w:pPr>
            <w:r>
              <w:t xml:space="preserve">[DD/MM/YYYY]</w:t>
            </w:r>
          </w:p>
        </w:tc>
      </w:tr>
      <w:tr>
        <w:tc>
          <w:tcPr/>
          <w:p>
            <w:pPr>
              <w:pStyle w:val="Compact"/>
              <w:jc w:val="left"/>
            </w:pPr>
            <w:r>
              <w:t xml:space="preserve">Validity Period:</w:t>
            </w:r>
          </w:p>
        </w:tc>
        <w:tc>
          <w:tcPr/>
          <w:p>
            <w:pPr>
              <w:pStyle w:val="Compact"/>
              <w:jc w:val="left"/>
            </w:pPr>
            <w:r>
              <w:t xml:space="preserve">30 calendar days from date of issue</w:t>
            </w:r>
          </w:p>
        </w:tc>
        <w:tc>
          <w:tcPr/>
          <w:p>
            <w:pPr>
              <w:pStyle w:val="Compact"/>
              <w:jc w:val="left"/>
            </w:pPr>
            <w:r>
              <w:t xml:space="preserve">Currency:</w:t>
            </w:r>
          </w:p>
        </w:tc>
        <w:tc>
          <w:tcPr/>
          <w:p>
            <w:pPr>
              <w:pStyle w:val="Compact"/>
              <w:jc w:val="left"/>
            </w:pPr>
            <w:r>
              <w:t xml:space="preserve">Kuwaiti Dinar (KWD)</w:t>
            </w:r>
          </w:p>
        </w:tc>
      </w:tr>
      <w:tr>
        <w:tc>
          <w:tcPr/>
          <w:p>
            <w:pPr>
              <w:pStyle w:val="Compact"/>
              <w:jc w:val="left"/>
            </w:pPr>
            <w:r>
              <w:t xml:space="preserve">Matter Reference:</w:t>
            </w:r>
          </w:p>
        </w:tc>
        <w:tc>
          <w:tcPr/>
          <w:p>
            <w:pPr>
              <w:pStyle w:val="Compact"/>
              <w:jc w:val="left"/>
            </w:pPr>
            <w:r>
              <w:t xml:space="preserve">Commercial Contract Dispute &amp; Corporate Advisory</w:t>
            </w:r>
          </w:p>
        </w:tc>
        <w:tc>
          <w:tcPr/>
          <w:p>
            <w:pPr>
              <w:pStyle w:val="Compact"/>
              <w:jc w:val="left"/>
            </w:pPr>
            <w:r>
              <w:t xml:space="preserve">Prepared By:</w:t>
            </w:r>
          </w:p>
        </w:tc>
        <w:tc>
          <w:tcPr/>
          <w:p>
            <w:pPr>
              <w:pStyle w:val="Compact"/>
              <w:jc w:val="left"/>
            </w:pPr>
            <w:r>
              <w:t xml:space="preserve">Adv. [Lawyer Full Name], Partner</w:t>
            </w:r>
          </w:p>
        </w:tc>
      </w:tr>
    </w:tbl>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is formally issued by the undersigned</w:t>
      </w:r>
      <w:r>
        <w:t xml:space="preserve"> </w:t>
      </w:r>
      <w:r>
        <w:t xml:space="preserve">Lawyer</w:t>
      </w:r>
      <w:r>
        <w:t xml:space="preserve"> </w:t>
      </w:r>
      <w:r>
        <w:t xml:space="preserve">and the firm of Al-Rashid &amp; Partners Legal Consultancy, duly registered and practising in</w:t>
      </w:r>
      <w:r>
        <w:t xml:space="preserve"> </w:t>
      </w:r>
      <w:r>
        <w:t xml:space="preserve">Kuwait, Kuwait City</w:t>
      </w:r>
      <w:r>
        <w:t xml:space="preserve">, to provide the Client with a comprehensive, itemised breakdown of all anticipated professional legal fees, disbursements, and ancillary costs associated with the engagement described herein. This document serves as a binding estimate of costs for the scope of work outlined below and is intended to ensure full transparency between the</w:t>
      </w:r>
      <w:r>
        <w:t xml:space="preserve"> </w:t>
      </w:r>
      <w:r>
        <w:t xml:space="preserve">Lawyer</w:t>
      </w:r>
      <w:r>
        <w:t xml:space="preserve"> </w:t>
      </w:r>
      <w:r>
        <w:t xml:space="preserve">and the Client prior to the commencement of any legal proceedings or advisory services in the jurisdiction of Kuwait.</w:t>
      </w:r>
    </w:p>
    <w:bookmarkEnd w:id="23"/>
    <w:bookmarkStart w:id="24" w:name="scope-of-legal-services"/>
    <w:p>
      <w:pPr>
        <w:pStyle w:val="Heading2"/>
      </w:pPr>
      <w:r>
        <w:t xml:space="preserve">2. Scope of Legal Services</w:t>
      </w:r>
    </w:p>
    <w:p>
      <w:pPr>
        <w:pStyle w:val="FirstParagraph"/>
      </w:pPr>
      <w:r>
        <w:t xml:space="preserve">The</w:t>
      </w:r>
      <w:r>
        <w:t xml:space="preserve"> </w:t>
      </w:r>
      <w:r>
        <w:t xml:space="preserve">Lawyer</w:t>
      </w:r>
      <w:r>
        <w:t xml:space="preserve"> </w:t>
      </w:r>
      <w:r>
        <w:t xml:space="preserve">shall provide the following services in connection with the matter referenced above, all to be conducted in accordance with the laws of the State of Kuwait and the rules of the Kuwait Bar Association:</w:t>
      </w:r>
    </w:p>
    <w:p>
      <w:pPr>
        <w:numPr>
          <w:ilvl w:val="0"/>
          <w:numId w:val="1001"/>
        </w:numPr>
        <w:pStyle w:val="Compact"/>
      </w:pPr>
      <w:r>
        <w:t xml:space="preserve">Comprehensive legal review and analysis of the disputed commercial supply agreement (approximately 120 pages) executed between the Client and the counterparty.</w:t>
      </w:r>
    </w:p>
    <w:p>
      <w:pPr>
        <w:numPr>
          <w:ilvl w:val="0"/>
          <w:numId w:val="1001"/>
        </w:numPr>
        <w:pStyle w:val="Compact"/>
      </w:pPr>
      <w:r>
        <w:t xml:space="preserve">Preparation, drafting, and filing of a formal statement of claim before the competent Commercial Court in Kuwait City, including all necessary annexures and supporting documentation.</w:t>
      </w:r>
    </w:p>
    <w:p>
      <w:pPr>
        <w:numPr>
          <w:ilvl w:val="0"/>
          <w:numId w:val="1001"/>
        </w:numPr>
        <w:pStyle w:val="Compact"/>
      </w:pPr>
      <w:r>
        <w:t xml:space="preserve">Representation of the Client at all preliminary hearings, evidentiary sessions, and final judgment proceedings before the Kuwaiti Commercial Court.</w:t>
      </w:r>
    </w:p>
    <w:p>
      <w:pPr>
        <w:numPr>
          <w:ilvl w:val="0"/>
          <w:numId w:val="1001"/>
        </w:numPr>
        <w:pStyle w:val="Compact"/>
      </w:pPr>
      <w:r>
        <w:t xml:space="preserve">Preparation of a written legal opinion regarding the enforceability of the arbitration clause contained in Section 14 of the disputed contract under Kuwaiti Law No. 12 of 2000 (Arbitration Law).</w:t>
      </w:r>
    </w:p>
    <w:p>
      <w:pPr>
        <w:numPr>
          <w:ilvl w:val="0"/>
          <w:numId w:val="1001"/>
        </w:numPr>
        <w:pStyle w:val="Compact"/>
      </w:pPr>
      <w:r>
        <w:t xml:space="preserve">Corporate advisory services for a period of three (3) months, including review of two (2) additional commercial contracts and attendance at one (1) board meeting in Kuwait City.</w:t>
      </w:r>
    </w:p>
    <w:p>
      <w:pPr>
        <w:numPr>
          <w:ilvl w:val="0"/>
          <w:numId w:val="1001"/>
        </w:numPr>
        <w:pStyle w:val="Compact"/>
      </w:pPr>
      <w:r>
        <w:t xml:space="preserve">Coordination with a licensed Kuwaiti translator for the translation of all Arabic-language court documents into English, and vice versa, as required by the court.</w:t>
      </w:r>
    </w:p>
    <w:p>
      <w:pPr>
        <w:numPr>
          <w:ilvl w:val="0"/>
          <w:numId w:val="1001"/>
        </w:numPr>
        <w:pStyle w:val="Compact"/>
      </w:pPr>
      <w:r>
        <w:t xml:space="preserve">Preparation of a settlement negotiation strategy and, if applicable, representation at mediation sessions conducted under the Kuwaiti Mediation Law.</w:t>
      </w:r>
    </w:p>
    <w:bookmarkEnd w:id="24"/>
    <w:bookmarkStart w:id="25" w:name="detailed-fee-breakdown"/>
    <w:p>
      <w:pPr>
        <w:pStyle w:val="Heading2"/>
      </w:pPr>
      <w:r>
        <w:t xml:space="preserve">3. Detailed Fee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 / Item</w:t>
            </w:r>
          </w:p>
        </w:tc>
        <w:tc>
          <w:tcPr/>
          <w:p>
            <w:pPr>
              <w:pStyle w:val="Compact"/>
              <w:jc w:val="left"/>
            </w:pPr>
            <w:r>
              <w:t xml:space="preserve">Quantity / Hours</w:t>
            </w:r>
          </w:p>
        </w:tc>
        <w:tc>
          <w:tcPr/>
          <w:p>
            <w:pPr>
              <w:pStyle w:val="Compact"/>
              <w:jc w:val="left"/>
            </w:pPr>
            <w:r>
              <w:t xml:space="preserve">Rate (KWD)</w:t>
            </w:r>
          </w:p>
        </w:tc>
        <w:tc>
          <w:tcPr/>
          <w:p>
            <w:pPr>
              <w:pStyle w:val="Compact"/>
              <w:jc w:val="left"/>
            </w:pPr>
            <w:r>
              <w:t xml:space="preserve">Amount (KWD)</w:t>
            </w:r>
          </w:p>
        </w:tc>
      </w:tr>
      <w:tr>
        <w:tc>
          <w:tcPr/>
          <w:p>
            <w:pPr>
              <w:pStyle w:val="Compact"/>
              <w:jc w:val="left"/>
            </w:pPr>
            <w:r>
              <w:t xml:space="preserve">1</w:t>
            </w:r>
          </w:p>
        </w:tc>
        <w:tc>
          <w:tcPr/>
          <w:p>
            <w:pPr>
              <w:pStyle w:val="Compact"/>
              <w:jc w:val="left"/>
            </w:pPr>
            <w:r>
              <w:t xml:space="preserve">Legal review and analysis of disputed commercial agreement</w:t>
            </w:r>
          </w:p>
        </w:tc>
        <w:tc>
          <w:tcPr/>
          <w:p>
            <w:pPr>
              <w:pStyle w:val="Compact"/>
              <w:jc w:val="left"/>
            </w:pPr>
            <w:r>
              <w:t xml:space="preserve">12 hours</w:t>
            </w:r>
          </w:p>
        </w:tc>
        <w:tc>
          <w:tcPr/>
          <w:p>
            <w:pPr>
              <w:pStyle w:val="Compact"/>
              <w:jc w:val="left"/>
            </w:pPr>
            <w:r>
              <w:t xml:space="preserve">25.000</w:t>
            </w:r>
          </w:p>
        </w:tc>
        <w:tc>
          <w:tcPr/>
          <w:p>
            <w:pPr>
              <w:pStyle w:val="Compact"/>
              <w:jc w:val="left"/>
            </w:pPr>
            <w:r>
              <w:t xml:space="preserve">300.000</w:t>
            </w:r>
          </w:p>
        </w:tc>
      </w:tr>
      <w:tr>
        <w:tc>
          <w:tcPr/>
          <w:p>
            <w:pPr>
              <w:pStyle w:val="Compact"/>
              <w:jc w:val="left"/>
            </w:pPr>
            <w:r>
              <w:t xml:space="preserve">2</w:t>
            </w:r>
          </w:p>
        </w:tc>
        <w:tc>
          <w:tcPr/>
          <w:p>
            <w:pPr>
              <w:pStyle w:val="Compact"/>
              <w:jc w:val="left"/>
            </w:pPr>
            <w:r>
              <w:t xml:space="preserve">Drafting and filing of statement of claim (Commercial Court, Kuwait City)</w:t>
            </w:r>
          </w:p>
        </w:tc>
        <w:tc>
          <w:tcPr/>
          <w:p>
            <w:pPr>
              <w:pStyle w:val="Compact"/>
              <w:jc w:val="left"/>
            </w:pPr>
            <w:r>
              <w:t xml:space="preserve">10 hours</w:t>
            </w:r>
          </w:p>
        </w:tc>
        <w:tc>
          <w:tcPr/>
          <w:p>
            <w:pPr>
              <w:pStyle w:val="Compact"/>
              <w:jc w:val="left"/>
            </w:pPr>
            <w:r>
              <w:t xml:space="preserve">25.000</w:t>
            </w:r>
          </w:p>
        </w:tc>
        <w:tc>
          <w:tcPr/>
          <w:p>
            <w:pPr>
              <w:pStyle w:val="Compact"/>
              <w:jc w:val="left"/>
            </w:pPr>
            <w:r>
              <w:t xml:space="preserve">250.000</w:t>
            </w:r>
          </w:p>
        </w:tc>
      </w:tr>
      <w:tr>
        <w:tc>
          <w:tcPr/>
          <w:p>
            <w:pPr>
              <w:pStyle w:val="Compact"/>
              <w:jc w:val="left"/>
            </w:pPr>
            <w:r>
              <w:t xml:space="preserve">3</w:t>
            </w:r>
          </w:p>
        </w:tc>
        <w:tc>
          <w:tcPr/>
          <w:p>
            <w:pPr>
              <w:pStyle w:val="Compact"/>
              <w:jc w:val="left"/>
            </w:pPr>
            <w:r>
              <w:t xml:space="preserve">Court representation — preliminary and evidentiary hearings (estimated 4 sessions)</w:t>
            </w:r>
          </w:p>
        </w:tc>
        <w:tc>
          <w:tcPr/>
          <w:p>
            <w:pPr>
              <w:pStyle w:val="Compact"/>
              <w:jc w:val="left"/>
            </w:pPr>
            <w:r>
              <w:t xml:space="preserve">4 sessions</w:t>
            </w:r>
          </w:p>
        </w:tc>
        <w:tc>
          <w:tcPr/>
          <w:p>
            <w:pPr>
              <w:pStyle w:val="Compact"/>
              <w:jc w:val="left"/>
            </w:pPr>
            <w:r>
              <w:t xml:space="preserve">150.000</w:t>
            </w:r>
          </w:p>
        </w:tc>
        <w:tc>
          <w:tcPr/>
          <w:p>
            <w:pPr>
              <w:pStyle w:val="Compact"/>
              <w:jc w:val="left"/>
            </w:pPr>
            <w:r>
              <w:t xml:space="preserve">600.000</w:t>
            </w:r>
          </w:p>
        </w:tc>
      </w:tr>
      <w:tr>
        <w:tc>
          <w:tcPr/>
          <w:p>
            <w:pPr>
              <w:pStyle w:val="Compact"/>
              <w:jc w:val="left"/>
            </w:pPr>
            <w:r>
              <w:t xml:space="preserve">4</w:t>
            </w:r>
          </w:p>
        </w:tc>
        <w:tc>
          <w:tcPr/>
          <w:p>
            <w:pPr>
              <w:pStyle w:val="Compact"/>
              <w:jc w:val="left"/>
            </w:pPr>
            <w:r>
              <w:t xml:space="preserve">Court representation — final judgment hearing</w:t>
            </w:r>
          </w:p>
        </w:tc>
        <w:tc>
          <w:tcPr/>
          <w:p>
            <w:pPr>
              <w:pStyle w:val="Compact"/>
              <w:jc w:val="left"/>
            </w:pPr>
            <w:r>
              <w:t xml:space="preserve">1 session</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Written legal opinion on arbitration clause (Arbitration Law No. 12/2000)</w:t>
            </w:r>
          </w:p>
        </w:tc>
        <w:tc>
          <w:tcPr/>
          <w:p>
            <w:pPr>
              <w:pStyle w:val="Compact"/>
              <w:jc w:val="left"/>
            </w:pPr>
            <w:r>
              <w:t xml:space="preserve">8 hours</w:t>
            </w:r>
          </w:p>
        </w:tc>
        <w:tc>
          <w:tcPr/>
          <w:p>
            <w:pPr>
              <w:pStyle w:val="Compact"/>
              <w:jc w:val="left"/>
            </w:pPr>
            <w:r>
              <w:t xml:space="preserve">25.000</w:t>
            </w:r>
          </w:p>
        </w:tc>
        <w:tc>
          <w:tcPr/>
          <w:p>
            <w:pPr>
              <w:pStyle w:val="Compact"/>
              <w:jc w:val="left"/>
            </w:pPr>
            <w:r>
              <w:t xml:space="preserve">200.000</w:t>
            </w:r>
          </w:p>
        </w:tc>
      </w:tr>
      <w:tr>
        <w:tc>
          <w:tcPr/>
          <w:p>
            <w:pPr>
              <w:pStyle w:val="Compact"/>
              <w:jc w:val="left"/>
            </w:pPr>
            <w:r>
              <w:t xml:space="preserve">6</w:t>
            </w:r>
          </w:p>
        </w:tc>
        <w:tc>
          <w:tcPr/>
          <w:p>
            <w:pPr>
              <w:pStyle w:val="Compact"/>
              <w:jc w:val="left"/>
            </w:pPr>
            <w:r>
              <w:t xml:space="preserve">Corporate advisory — 3-month retainer (contract reviews + board attendance)</w:t>
            </w:r>
          </w:p>
        </w:tc>
        <w:tc>
          <w:tcPr/>
          <w:p>
            <w:pPr>
              <w:pStyle w:val="Compact"/>
              <w:jc w:val="left"/>
            </w:pPr>
            <w:r>
              <w:t xml:space="preserve">3 months</w:t>
            </w:r>
          </w:p>
        </w:tc>
        <w:tc>
          <w:tcPr/>
          <w:p>
            <w:pPr>
              <w:pStyle w:val="Compact"/>
              <w:jc w:val="left"/>
            </w:pPr>
            <w:r>
              <w:t xml:space="preserve">400.000</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Settlement negotiation strategy and mediation representation</w:t>
            </w:r>
          </w:p>
        </w:tc>
        <w:tc>
          <w:tcPr/>
          <w:p>
            <w:pPr>
              <w:pStyle w:val="Compact"/>
              <w:jc w:val="left"/>
            </w:pPr>
            <w:r>
              <w:t xml:space="preserve">6 hours</w:t>
            </w:r>
          </w:p>
        </w:tc>
        <w:tc>
          <w:tcPr/>
          <w:p>
            <w:pPr>
              <w:pStyle w:val="Compact"/>
              <w:jc w:val="left"/>
            </w:pPr>
            <w:r>
              <w:t xml:space="preserve">25.000</w:t>
            </w:r>
          </w:p>
        </w:tc>
        <w:tc>
          <w:tcPr/>
          <w:p>
            <w:pPr>
              <w:pStyle w:val="Compact"/>
              <w:jc w:val="left"/>
            </w:pPr>
            <w:r>
              <w:t xml:space="preserve">150.000</w:t>
            </w:r>
          </w:p>
        </w:tc>
      </w:tr>
      <w:tr>
        <w:tc>
          <w:tcPr/>
          <w:p>
            <w:pPr>
              <w:pStyle w:val="Compact"/>
              <w:jc w:val="left"/>
            </w:pPr>
            <w:r>
              <w:t xml:space="preserve">8</w:t>
            </w:r>
          </w:p>
        </w:tc>
        <w:tc>
          <w:tcPr/>
          <w:p>
            <w:pPr>
              <w:pStyle w:val="Compact"/>
              <w:jc w:val="left"/>
            </w:pPr>
            <w:r>
              <w:t xml:space="preserve">Court filing fees, stamp duties, and official registration charges (Kuwait City)</w:t>
            </w:r>
          </w:p>
        </w:tc>
        <w:tc>
          <w:tcPr/>
          <w:p>
            <w:pPr>
              <w:pStyle w:val="Compact"/>
              <w:jc w:val="left"/>
            </w:pPr>
            <w:r>
              <w:t xml:space="preserve">As applicable</w:t>
            </w:r>
          </w:p>
        </w:tc>
        <w:tc>
          <w:tcPr/>
          <w:p>
            <w:pPr>
              <w:pStyle w:val="Compact"/>
              <w:jc w:val="left"/>
            </w:pPr>
            <w:r>
              <w:t xml:space="preserve">—</w:t>
            </w:r>
          </w:p>
        </w:tc>
        <w:tc>
          <w:tcPr/>
          <w:p>
            <w:pPr>
              <w:pStyle w:val="Compact"/>
              <w:jc w:val="left"/>
            </w:pPr>
            <w:r>
              <w:t xml:space="preserve">175.000</w:t>
            </w:r>
          </w:p>
        </w:tc>
      </w:tr>
      <w:tr>
        <w:tc>
          <w:tcPr/>
          <w:p>
            <w:pPr>
              <w:pStyle w:val="Compact"/>
              <w:jc w:val="left"/>
            </w:pPr>
            <w:r>
              <w:t xml:space="preserve">9</w:t>
            </w:r>
          </w:p>
        </w:tc>
        <w:tc>
          <w:tcPr/>
          <w:p>
            <w:pPr>
              <w:pStyle w:val="Compact"/>
              <w:jc w:val="left"/>
            </w:pPr>
            <w:r>
              <w:t xml:space="preserve">Professional translation services (Arabic ↔ English), certified</w:t>
            </w:r>
          </w:p>
        </w:tc>
        <w:tc>
          <w:tcPr/>
          <w:p>
            <w:pPr>
              <w:pStyle w:val="Compact"/>
              <w:jc w:val="left"/>
            </w:pPr>
            <w:r>
              <w:t xml:space="preserve">As required</w:t>
            </w:r>
          </w:p>
        </w:tc>
        <w:tc>
          <w:tcPr/>
          <w:p>
            <w:pPr>
              <w:pStyle w:val="Compact"/>
              <w:jc w:val="left"/>
            </w:pPr>
            <w:r>
              <w:t xml:space="preserve">—</w:t>
            </w:r>
          </w:p>
        </w:tc>
        <w:tc>
          <w:tcPr/>
          <w:p>
            <w:pPr>
              <w:pStyle w:val="Compact"/>
              <w:jc w:val="left"/>
            </w:pPr>
            <w:r>
              <w:t xml:space="preserve">120.000</w:t>
            </w:r>
          </w:p>
        </w:tc>
      </w:tr>
      <w:tr>
        <w:tc>
          <w:tcPr/>
          <w:p>
            <w:pPr>
              <w:pStyle w:val="Compact"/>
              <w:jc w:val="left"/>
            </w:pPr>
            <w:r>
              <w:t xml:space="preserve">10</w:t>
            </w:r>
          </w:p>
        </w:tc>
        <w:tc>
          <w:tcPr/>
          <w:p>
            <w:pPr>
              <w:pStyle w:val="Compact"/>
              <w:jc w:val="left"/>
            </w:pPr>
            <w:r>
              <w:t xml:space="preserve">Courier, printing, photocopying, and administrative disbursements</w:t>
            </w:r>
          </w:p>
        </w:tc>
        <w:tc>
          <w:tcPr/>
          <w:p>
            <w:pPr>
              <w:pStyle w:val="Compact"/>
              <w:jc w:val="left"/>
            </w:pPr>
            <w:r>
              <w:t xml:space="preserve">As incurred</w:t>
            </w:r>
          </w:p>
        </w:tc>
        <w:tc>
          <w:tcPr/>
          <w:p>
            <w:pPr>
              <w:pStyle w:val="Compact"/>
              <w:jc w:val="left"/>
            </w:pPr>
            <w:r>
              <w:t xml:space="preserve">—</w:t>
            </w:r>
          </w:p>
        </w:tc>
        <w:tc>
          <w:tcPr/>
          <w:p>
            <w:pPr>
              <w:pStyle w:val="Compact"/>
              <w:jc w:val="left"/>
            </w:pPr>
            <w:r>
              <w:t xml:space="preserve">50.000</w:t>
            </w:r>
          </w:p>
        </w:tc>
      </w:tr>
      <w:tr>
        <w:tc>
          <w:tcPr>
            <w:gridSpan w:val="4"/>
          </w:tcPr>
          <w:p>
            <w:pPr>
              <w:pStyle w:val="Compact"/>
              <w:jc w:val="right"/>
            </w:pPr>
            <w:r>
              <w:t xml:space="preserve">TOTAL ESTIMATED FEE (KWD)</w:t>
            </w:r>
          </w:p>
        </w:tc>
        <w:tc>
          <w:tcPr/>
          <w:p>
            <w:pPr>
              <w:pStyle w:val="Compact"/>
              <w:jc w:val="left"/>
            </w:pPr>
            <w:r>
              <w:t xml:space="preserve">3,245.000</w:t>
            </w:r>
          </w:p>
        </w:tc>
      </w:tr>
      <w:tr>
        <w:tc>
          <w:tcPr>
            <w:gridSpan w:val="4"/>
          </w:tcPr>
          <w:p>
            <w:pPr>
              <w:pStyle w:val="Compact"/>
              <w:jc w:val="right"/>
            </w:pPr>
            <w:r>
              <w:t xml:space="preserve">VAT (5% — if applicable under Kuwaiti tax regulations)</w:t>
            </w:r>
          </w:p>
        </w:tc>
        <w:tc>
          <w:tcPr/>
          <w:p>
            <w:pPr>
              <w:pStyle w:val="Compact"/>
              <w:jc w:val="left"/>
            </w:pPr>
            <w:r>
              <w:t xml:space="preserve">162.250</w:t>
            </w:r>
          </w:p>
        </w:tc>
      </w:tr>
      <w:tr>
        <w:tc>
          <w:tcPr>
            <w:gridSpan w:val="4"/>
          </w:tcPr>
          <w:p>
            <w:pPr>
              <w:pStyle w:val="Compact"/>
              <w:jc w:val="right"/>
            </w:pPr>
            <w:r>
              <w:t xml:space="preserve">GRAND TOTAL (KWD)</w:t>
            </w:r>
          </w:p>
        </w:tc>
        <w:tc>
          <w:tcPr/>
          <w:p>
            <w:pPr>
              <w:pStyle w:val="Compact"/>
              <w:jc w:val="left"/>
            </w:pPr>
            <w:r>
              <w:t xml:space="preserve">3,407.250</w:t>
            </w:r>
          </w:p>
        </w:tc>
      </w:tr>
    </w:tbl>
    <w:p>
      <w:pPr>
        <w:pStyle w:val="BodyText"/>
      </w:pPr>
      <w:r>
        <w:rPr>
          <w:bCs/>
          <w:b/>
        </w:rPr>
        <w:t xml:space="preserve">Note:</w:t>
      </w:r>
      <w:r>
        <w:t xml:space="preserve"> </w:t>
      </w:r>
      <w:r>
        <w:t xml:space="preserve">The above</w:t>
      </w:r>
      <w:r>
        <w:t xml:space="preserve"> </w:t>
      </w:r>
      <w:r>
        <w:t xml:space="preserve">Quotation Estimate</w:t>
      </w:r>
      <w:r>
        <w:t xml:space="preserve"> </w:t>
      </w:r>
      <w:r>
        <w:t xml:space="preserve">is based on the current scope of work as understood by the</w:t>
      </w:r>
      <w:r>
        <w:t xml:space="preserve"> </w:t>
      </w:r>
      <w:r>
        <w:t xml:space="preserve">Lawyer</w:t>
      </w:r>
      <w:r>
        <w:t xml:space="preserve"> </w:t>
      </w:r>
      <w:r>
        <w:t xml:space="preserve">at the time of preparation. Should the matter expand in complexity, require additional court appearances, or necessitate appeals before the Court of Appeal or the Court of Cassation in Kuwait City, a supplementary Quotation Estimate shall be issued and agreed upon in writing before any additional work commences. All fees are quoted in Kuwaiti Dinars (KWD) and are exclusive of any court-imposed costs not listed above.</w:t>
      </w:r>
    </w:p>
    <w:bookmarkEnd w:id="25"/>
    <w:bookmarkStart w:id="26" w:name="payment-terms"/>
    <w:p>
      <w:pPr>
        <w:pStyle w:val="Heading2"/>
      </w:pPr>
      <w:r>
        <w:t xml:space="preserve">4. Payment Terms</w:t>
      </w:r>
    </w:p>
    <w:p>
      <w:pPr>
        <w:pStyle w:val="FirstParagraph"/>
      </w:pPr>
      <w:r>
        <w:t xml:space="preserve">Payment of the total estimated fee shall be structured as follows: (a) a non-refundable retainer of</w:t>
      </w:r>
      <w:r>
        <w:t xml:space="preserve"> </w:t>
      </w:r>
      <w:r>
        <w:rPr>
          <w:bCs/>
          <w:b/>
        </w:rPr>
        <w:t xml:space="preserve">30%</w:t>
      </w:r>
      <w:r>
        <w:t xml:space="preserve"> </w:t>
      </w:r>
      <w:r>
        <w:t xml:space="preserve">(KWD 1,021.50) due upon execution of the engagement letter; (b) a second instalment of</w:t>
      </w:r>
      <w:r>
        <w:t xml:space="preserve"> </w:t>
      </w:r>
      <w:r>
        <w:rPr>
          <w:bCs/>
          <w:b/>
        </w:rPr>
        <w:t xml:space="preserve">40%</w:t>
      </w:r>
      <w:r>
        <w:t xml:space="preserve"> </w:t>
      </w:r>
      <w:r>
        <w:t xml:space="preserve">(KWD 1,362.90) due upon filing of the statement of claim with the Commercial Court in Kuwait City; and (c) the remaining</w:t>
      </w:r>
      <w:r>
        <w:t xml:space="preserve"> </w:t>
      </w:r>
      <w:r>
        <w:rPr>
          <w:bCs/>
          <w:b/>
        </w:rPr>
        <w:t xml:space="preserve">30%</w:t>
      </w:r>
      <w:r>
        <w:t xml:space="preserve"> </w:t>
      </w:r>
      <w:r>
        <w:t xml:space="preserve">(KWD 1,022.85) due within fourteen (14) calendar days of the final judgment or settlement. All payments shall be made by bank transfer to the firm's designated account at [Bank Name], Kuwait City branch. The</w:t>
      </w:r>
      <w:r>
        <w:t xml:space="preserve"> </w:t>
      </w:r>
      <w:r>
        <w:t xml:space="preserve">Lawyer</w:t>
      </w:r>
      <w:r>
        <w:t xml:space="preserve"> </w:t>
      </w:r>
      <w:r>
        <w:t xml:space="preserve">reserves the right to suspend all services if any instalment remains outstanding beyond the due date.</w:t>
      </w:r>
    </w:p>
    <w:bookmarkEnd w:id="26"/>
    <w:bookmarkStart w:id="27" w:name="terms-and-conditions"/>
    <w:p>
      <w:pPr>
        <w:pStyle w:val="Heading2"/>
      </w:pPr>
      <w:r>
        <w:t xml:space="preserve">5.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thirty (30) calendar days from the date of issue. Upon expiry, the</w:t>
      </w:r>
      <w:r>
        <w:t xml:space="preserve"> </w:t>
      </w:r>
      <w:r>
        <w:t xml:space="preserve">Lawyer</w:t>
      </w:r>
      <w:r>
        <w:t xml:space="preserve"> </w:t>
      </w:r>
      <w:r>
        <w:t xml:space="preserve">reserves the right to revise all fees and disbursements to reflect current market rates in Kuwait.</w:t>
      </w:r>
    </w:p>
    <w:p>
      <w:pPr>
        <w:numPr>
          <w:ilvl w:val="0"/>
          <w:numId w:val="1002"/>
        </w:numPr>
        <w:pStyle w:val="Compact"/>
      </w:pPr>
      <w:r>
        <w:t xml:space="preserve">All legal services shall be performed in strict compliance with the Kuwaiti Legal Profession Law, the Code of Professional Conduct of the Kuwait Bar Association, and applicable regulations of the Ministry of Justice in Kuwait City.</w:t>
      </w:r>
    </w:p>
    <w:p>
      <w:pPr>
        <w:numPr>
          <w:ilvl w:val="0"/>
          <w:numId w:val="1002"/>
        </w:numPr>
        <w:pStyle w:val="Compact"/>
      </w:pPr>
      <w:r>
        <w:t xml:space="preserve">The</w:t>
      </w:r>
      <w:r>
        <w:t xml:space="preserve"> </w:t>
      </w:r>
      <w:r>
        <w:t xml:space="preserve">Lawyer</w:t>
      </w:r>
      <w:r>
        <w:t xml:space="preserve"> </w:t>
      </w:r>
      <w:r>
        <w:t xml:space="preserve">shall maintain strict confidentiality regarding all information, documents, and communications received in connection with this engagement, in accordance with Kuwaiti data protection and professional secrecy obligations.</w:t>
      </w:r>
    </w:p>
    <w:p>
      <w:pPr>
        <w:numPr>
          <w:ilvl w:val="0"/>
          <w:numId w:val="1002"/>
        </w:numPr>
        <w:pStyle w:val="Compact"/>
      </w:pPr>
      <w:r>
        <w:t xml:space="preserve">This Quotation Estimate does not constitute a guarantee of any particular outcome, judgment, or settlement. The</w:t>
      </w:r>
      <w:r>
        <w:t xml:space="preserve"> </w:t>
      </w:r>
      <w:r>
        <w:t xml:space="preserve">Lawyer</w:t>
      </w:r>
      <w:r>
        <w:t xml:space="preserve"> </w:t>
      </w:r>
      <w:r>
        <w:t xml:space="preserve">shall exercise reasonable professional skill and diligence in the representation of the Client's interests before the courts and tribunals of Kuwait.</w:t>
      </w:r>
    </w:p>
    <w:p>
      <w:pPr>
        <w:numPr>
          <w:ilvl w:val="0"/>
          <w:numId w:val="1002"/>
        </w:numPr>
        <w:pStyle w:val="Compact"/>
      </w:pPr>
      <w:r>
        <w:t xml:space="preserve">Any dispute arising from the interpretation or performance of this Quotation Estimate shall be resolved by the competent courts of Kuwait City, and the laws of the State of Kuwait shall govern this document.</w:t>
      </w:r>
    </w:p>
    <w:p>
      <w:pPr>
        <w:numPr>
          <w:ilvl w:val="0"/>
          <w:numId w:val="1002"/>
        </w:numPr>
        <w:pStyle w:val="Compact"/>
      </w:pPr>
      <w:r>
        <w:t xml:space="preserve">The Client acknowledges that the</w:t>
      </w:r>
      <w:r>
        <w:t xml:space="preserve"> </w:t>
      </w:r>
      <w:r>
        <w:t xml:space="preserve">Lawyer</w:t>
      </w:r>
      <w:r>
        <w:t xml:space="preserve"> </w:t>
      </w:r>
      <w:r>
        <w:t xml:space="preserve">may refer specific technical or specialist matters (e.g., tax, immigration, or maritime law) to a co-counsel, and any additional fees for such referral shall be pre-approved in writing by the Client.</w:t>
      </w:r>
    </w:p>
    <w:p>
      <w:pPr>
        <w:numPr>
          <w:ilvl w:val="0"/>
          <w:numId w:val="1002"/>
        </w:numPr>
        <w:pStyle w:val="Compact"/>
      </w:pPr>
      <w:r>
        <w:t xml:space="preserve">This Quotation Estimate, once signed and accepted by both parties, shall form an integral part of the formal Engagement Letter and shall be binding upon both the</w:t>
      </w:r>
      <w:r>
        <w:t xml:space="preserve"> </w:t>
      </w:r>
      <w:r>
        <w:t xml:space="preserve">Lawyer</w:t>
      </w:r>
      <w:r>
        <w:t xml:space="preserve"> </w:t>
      </w:r>
      <w:r>
        <w:t xml:space="preserve">and the Client.</w:t>
      </w:r>
    </w:p>
    <w:bookmarkEnd w:id="27"/>
    <w:bookmarkStart w:id="28" w:name="acceptance-and-authorisation"/>
    <w:p>
      <w:pPr>
        <w:pStyle w:val="Heading2"/>
      </w:pPr>
      <w:r>
        <w:t xml:space="preserve">6. Acceptance and Authorisation</w:t>
      </w:r>
    </w:p>
    <w:p>
      <w:pPr>
        <w:pStyle w:val="FirstParagraph"/>
      </w:pPr>
      <w:r>
        <w:t xml:space="preserve">By signing below, the Client acknowledges receipt of this</w:t>
      </w:r>
      <w:r>
        <w:t xml:space="preserve"> </w:t>
      </w:r>
      <w:r>
        <w:t xml:space="preserve">Quotation Estimate</w:t>
      </w:r>
      <w:r>
        <w:t xml:space="preserve">, confirms that the scope of services and fee structure have been reviewed and understood, and authorises the</w:t>
      </w:r>
      <w:r>
        <w:t xml:space="preserve"> </w:t>
      </w:r>
      <w:r>
        <w:t xml:space="preserve">Lawyer</w:t>
      </w:r>
      <w:r>
        <w:t xml:space="preserve"> </w:t>
      </w:r>
      <w:r>
        <w:t xml:space="preserve">to commence the legal work described herein in Kuwait, Kuwait City.</w:t>
      </w:r>
    </w:p>
    <w:p>
      <w:pPr>
        <w:pStyle w:val="BodyText"/>
      </w:pPr>
      <w:r>
        <w:rPr>
          <w:bCs/>
          <w:b/>
        </w:rPr>
        <w:t xml:space="preserve">For and on behalf of the Lawyer / Firm</w:t>
      </w:r>
      <w:r>
        <w:br/>
      </w:r>
      <w:r>
        <w:t xml:space="preserve">Al-Rashid &amp; Partners Legal Consultancy</w:t>
      </w:r>
      <w:r>
        <w:br/>
      </w:r>
      <w:r>
        <w:t xml:space="preserve">Name: Adv. [Lawyer Full Name]</w:t>
      </w:r>
      <w:r>
        <w:br/>
      </w:r>
      <w:r>
        <w:t xml:space="preserve">Signature: _________________________</w:t>
      </w:r>
      <w:r>
        <w:br/>
      </w:r>
      <w:r>
        <w:t xml:space="preserve">Date: _________________________</w:t>
      </w:r>
    </w:p>
    <w:p>
      <w:pPr>
        <w:pStyle w:val="BodyText"/>
      </w:pPr>
      <w:r>
        <w:rPr>
          <w:bCs/>
          <w:b/>
        </w:rPr>
        <w:t xml:space="preserve">For and on behalf of the Client</w:t>
      </w:r>
      <w:r>
        <w:br/>
      </w:r>
      <w:r>
        <w:t xml:space="preserve">[Client Full Name / Company Name]</w:t>
      </w:r>
      <w:r>
        <w:br/>
      </w:r>
      <w:r>
        <w:t xml:space="preserve">Name: _________________________</w:t>
      </w:r>
      <w:r>
        <w:br/>
      </w:r>
      <w:r>
        <w:t xml:space="preserve">Signature: _________________________</w:t>
      </w:r>
      <w:r>
        <w:br/>
      </w:r>
      <w:r>
        <w:t xml:space="preserve">Date: _________________________</w:t>
      </w:r>
    </w:p>
    <w:p>
      <w:pPr>
        <w:pStyle w:val="BodyText"/>
      </w:pPr>
      <w:r>
        <w:t xml:space="preserve">This Quotation Estimate (Ref: QE-2025-KW-0347) was prepared by Al-Rashid &amp; Partners Legal Consultancy, Kuwait, Kuwait City.</w:t>
      </w:r>
      <w:r>
        <w:br/>
      </w:r>
      <w:r>
        <w:t xml:space="preserve">This document is confidential and intended solely for the named Client. Unauthorised reproduction or distribution is prohibited.</w:t>
      </w:r>
      <w:r>
        <w:br/>
      </w:r>
      <w:r>
        <w:t xml:space="preserve">© 2025 Al-Rashid &amp; Partners Legal Consultancy. All rights reserved.</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Legal Services - Kuwait Kuwait City</dc:title>
  <dc:creator/>
  <dc:language>en</dc:language>
  <cp:keywords/>
  <dcterms:created xsi:type="dcterms:W3CDTF">2026-10-10T09:17:30Z</dcterms:created>
  <dcterms:modified xsi:type="dcterms:W3CDTF">2026-10-10T09:17:30Z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