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quotation-estimate"/>
    <w:p>
      <w:pPr>
        <w:pStyle w:val="Heading1"/>
      </w:pPr>
      <w:r>
        <w:t xml:space="preserve">QUOTATION ESTIMATE</w:t>
      </w:r>
    </w:p>
    <w:p>
      <w:pPr>
        <w:pStyle w:val="FirstParagraph"/>
      </w:pPr>
      <w:r>
        <w:t xml:space="preserve">Professional Legal Services — Kuala Lumpur, Malaysia</w:t>
      </w:r>
    </w:p>
    <w:p>
      <w:pPr>
        <w:pStyle w:val="BodyText"/>
      </w:pPr>
      <w:r>
        <w:t xml:space="preserve">Solicitors &amp; Advocates | Bar Council of Malaysia Registered Firm</w:t>
      </w:r>
    </w:p>
    <w:bookmarkEnd w:id="20"/>
    <w:bookmarkStart w:id="21" w:name="from-the-firm"/>
    <w:p>
      <w:pPr>
        <w:pStyle w:val="Heading3"/>
      </w:pPr>
      <w:r>
        <w:t xml:space="preserve">From: The Firm</w:t>
      </w:r>
    </w:p>
    <w:p>
      <w:pPr>
        <w:pStyle w:val="FirstParagraph"/>
      </w:pPr>
      <w:r>
        <w:rPr>
          <w:bCs/>
          <w:b/>
        </w:rPr>
        <w:t xml:space="preserve">Meridian &amp; Associates Legal Chambers</w:t>
      </w:r>
      <w:r>
        <w:br/>
      </w:r>
      <w:r>
        <w:t xml:space="preserve">Suite 1204, Level 12, Menara KL Sentral</w:t>
      </w:r>
      <w:r>
        <w:br/>
      </w:r>
      <w:r>
        <w:t xml:space="preserve">Jalan Stesen Sentral 5, 50470</w:t>
      </w:r>
      <w:r>
        <w:br/>
      </w:r>
      <w:r>
        <w:t xml:space="preserve">Kuala Lumpur, Wilayah Persekutuan</w:t>
      </w:r>
      <w:r>
        <w:br/>
      </w:r>
      <w:r>
        <w:t xml:space="preserve">Malaysia</w:t>
      </w:r>
      <w:r>
        <w:br/>
      </w:r>
      <w:r>
        <w:t xml:space="preserve">Tel: +603-2181 4567</w:t>
      </w:r>
      <w:r>
        <w:br/>
      </w:r>
      <w:r>
        <w:t xml:space="preserve">Email: enquiries@meridianlaw.my</w:t>
      </w:r>
      <w:r>
        <w:br/>
      </w:r>
      <w:r>
        <w:t xml:space="preserve">Bar Council Reg. No.: KL/2019/04872</w:t>
      </w:r>
    </w:p>
    <w:bookmarkEnd w:id="21"/>
    <w:bookmarkStart w:id="22" w:name="to-the-client"/>
    <w:p>
      <w:pPr>
        <w:pStyle w:val="Heading3"/>
      </w:pPr>
      <w:r>
        <w:t xml:space="preserve">To: The Client</w:t>
      </w:r>
    </w:p>
    <w:p>
      <w:pPr>
        <w:pStyle w:val="FirstParagraph"/>
      </w:pPr>
      <w:r>
        <w:rPr>
          <w:bCs/>
          <w:b/>
        </w:rPr>
        <w:t xml:space="preserve">Mr. Tan Wei Keat</w:t>
      </w:r>
      <w:r>
        <w:br/>
      </w:r>
      <w:r>
        <w:t xml:space="preserve">88, Jalan Ampang, Unit 15-03</w:t>
      </w:r>
      <w:r>
        <w:br/>
      </w:r>
      <w:r>
        <w:t xml:space="preserve">50450 Kuala Lumpur, Wilayah Persekutuan</w:t>
      </w:r>
      <w:r>
        <w:br/>
      </w:r>
      <w:r>
        <w:t xml:space="preserve">Malaysia</w:t>
      </w:r>
      <w:r>
        <w:br/>
      </w:r>
      <w:r>
        <w:t xml:space="preserve">Tel: +6012-345 6789</w:t>
      </w:r>
      <w:r>
        <w:br/>
      </w:r>
      <w:r>
        <w:t xml:space="preserve">Email: tanwk@email.com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MA/QE/2025/00347</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Reference:</w:t>
            </w:r>
          </w:p>
        </w:tc>
        <w:tc>
          <w:tcPr/>
          <w:p>
            <w:pPr>
              <w:pStyle w:val="Compact"/>
              <w:jc w:val="left"/>
            </w:pPr>
            <w:r>
              <w:t xml:space="preserve">Corporate Contract Dispute</w:t>
            </w:r>
          </w:p>
        </w:tc>
      </w:tr>
      <w:tr>
        <w:tc>
          <w:tcPr/>
          <w:p>
            <w:pPr>
              <w:pStyle w:val="Compact"/>
              <w:jc w:val="left"/>
            </w:pPr>
            <w:r>
              <w:t xml:space="preserve">Prepared By:</w:t>
            </w:r>
          </w:p>
        </w:tc>
        <w:tc>
          <w:tcPr/>
          <w:p>
            <w:pPr>
              <w:pStyle w:val="Compact"/>
              <w:jc w:val="left"/>
            </w:pPr>
            <w:r>
              <w:t xml:space="preserve">Advocate &amp; Solicitor, Dato' Sri Nurul Aisyah binti Rahman</w:t>
            </w:r>
          </w:p>
        </w:tc>
        <w:tc>
          <w:tcPr/>
          <w:p>
            <w:pPr>
              <w:pStyle w:val="Compact"/>
              <w:jc w:val="left"/>
            </w:pPr>
            <w:r>
              <w:t xml:space="preserve">Location:</w:t>
            </w:r>
          </w:p>
        </w:tc>
        <w:tc>
          <w:tcPr/>
          <w:p>
            <w:pPr>
              <w:pStyle w:val="Compact"/>
              <w:jc w:val="left"/>
            </w:pPr>
            <w:r>
              <w:t xml:space="preserve">Kuala Lumpur, Malaysia</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&amp; Associates Legal Chambers, a duly registered</w:t>
      </w:r>
      <w:r>
        <w:t xml:space="preserve"> </w:t>
      </w:r>
      <w:r>
        <w:t xml:space="preserve">Lawyer</w:t>
      </w:r>
      <w:r>
        <w:t xml:space="preserve"> </w:t>
      </w:r>
      <w:r>
        <w:t xml:space="preserve">firm practising in Kuala Lumpur, Malaysia, to provide Mr. Tan Wei Keat with a comprehensive and transparent breakdown of the professional legal fees, disbursements, and associated costs for the engagement of our</w:t>
      </w:r>
      <w:r>
        <w:t xml:space="preserve"> </w:t>
      </w:r>
      <w:r>
        <w:t xml:space="preserve">Lawyer</w:t>
      </w:r>
      <w:r>
        <w:t xml:space="preserve"> </w:t>
      </w:r>
      <w:r>
        <w:t xml:space="preserve">services. This document serves as a formal</w:t>
      </w:r>
      <w:r>
        <w:t xml:space="preserve"> </w:t>
      </w:r>
      <w:r>
        <w:t xml:space="preserve">Quotation Estimate</w:t>
      </w:r>
      <w:r>
        <w:t xml:space="preserve"> </w:t>
      </w:r>
      <w:r>
        <w:t xml:space="preserve">in accordance with the Advocates and Solicitors Disciplinary Board guidelines and the fee structures prescribed by the Bar Council of Malaysia. All rates quoted herein reflect the prevailing market standards for legal practice in Kuala Lumpur, Malaysia, and are subject to the terms and conditions set out in Section 6 of this</w:t>
      </w:r>
      <w:r>
        <w:t xml:space="preserve"> </w:t>
      </w:r>
      <w:r>
        <w:t xml:space="preserve">Quotation Estimate</w:t>
      </w:r>
      <w:r>
        <w:t xml:space="preserve">.</w:t>
      </w:r>
    </w:p>
    <w:bookmarkEnd w:id="23"/>
    <w:bookmarkStart w:id="24" w:name="scope-of-legal-services"/>
    <w:p>
      <w:pPr>
        <w:pStyle w:val="Heading2"/>
      </w:pPr>
      <w:r>
        <w:t xml:space="preserve">2. Scope of Legal Services</w:t>
      </w:r>
    </w:p>
    <w:p>
      <w:pPr>
        <w:pStyle w:val="FirstParagraph"/>
      </w:pPr>
      <w:r>
        <w:t xml:space="preserve">The following</w:t>
      </w:r>
      <w:r>
        <w:t xml:space="preserve"> </w:t>
      </w:r>
      <w:r>
        <w:t xml:space="preserve">Quotation Estimate</w:t>
      </w:r>
      <w:r>
        <w:t xml:space="preserve"> </w:t>
      </w:r>
      <w:r>
        <w:t xml:space="preserve">covers the full spectrum of legal representation and advisory services to be rendered by our</w:t>
      </w:r>
      <w:r>
        <w:t xml:space="preserve"> </w:t>
      </w:r>
      <w:r>
        <w:t xml:space="preserve">Lawyer</w:t>
      </w:r>
      <w:r>
        <w:t xml:space="preserve"> </w:t>
      </w:r>
      <w:r>
        <w:t xml:space="preserve">team in Kuala Lumpur, Malaysia, in connection with the corporate contract dispute matter referenced above. The scope includes but is not limited to the items detailed in the fee schedule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Estimated Cost (MYR)</w:t>
            </w:r>
          </w:p>
        </w:tc>
      </w:tr>
      <w:tr>
        <w:tc>
          <w:tcPr/>
          <w:p>
            <w:pPr>
              <w:pStyle w:val="Compact"/>
              <w:jc w:val="left"/>
            </w:pPr>
            <w:r>
              <w:t xml:space="preserve">1</w:t>
            </w:r>
          </w:p>
        </w:tc>
        <w:tc>
          <w:tcPr/>
          <w:p>
            <w:pPr>
              <w:pStyle w:val="Compact"/>
              <w:jc w:val="left"/>
            </w:pPr>
            <w:r>
              <w:t xml:space="preserve">Initial consultation and case assessment by the Lead</w:t>
            </w:r>
            <w:r>
              <w:t xml:space="preserve"> </w:t>
            </w:r>
            <w:r>
              <w:t xml:space="preserve">Lawyer</w:t>
            </w:r>
            <w:r>
              <w:t xml:space="preserve"> </w:t>
            </w:r>
            <w:r>
              <w:t xml:space="preserve">in Kuala Lumpur, Malaysia, including review of all relevant contracts, correspondence, and supporting documentation.</w:t>
            </w:r>
          </w:p>
        </w:tc>
        <w:tc>
          <w:tcPr/>
          <w:p>
            <w:pPr>
              <w:pStyle w:val="Compact"/>
              <w:jc w:val="left"/>
            </w:pPr>
            <w:r>
              <w:t xml:space="preserve">RM 450.00 / hour</w:t>
            </w:r>
          </w:p>
        </w:tc>
        <w:tc>
          <w:tcPr/>
          <w:p>
            <w:pPr>
              <w:pStyle w:val="Compact"/>
              <w:jc w:val="left"/>
            </w:pPr>
            <w:r>
              <w:t xml:space="preserve">4 hours</w:t>
            </w:r>
          </w:p>
        </w:tc>
        <w:tc>
          <w:tcPr/>
          <w:p>
            <w:pPr>
              <w:pStyle w:val="Compact"/>
              <w:jc w:val="left"/>
            </w:pPr>
            <w:r>
              <w:t xml:space="preserve">RM 1,800.00</w:t>
            </w:r>
          </w:p>
        </w:tc>
      </w:tr>
      <w:tr>
        <w:tc>
          <w:tcPr/>
          <w:p>
            <w:pPr>
              <w:pStyle w:val="Compact"/>
              <w:jc w:val="left"/>
            </w:pPr>
            <w:r>
              <w:t xml:space="preserve">2</w:t>
            </w:r>
          </w:p>
        </w:tc>
        <w:tc>
          <w:tcPr/>
          <w:p>
            <w:pPr>
              <w:pStyle w:val="Compact"/>
              <w:jc w:val="left"/>
            </w:pPr>
            <w:r>
              <w:t xml:space="preserve">Preparation and filing of the Statement of Claim and supporting affidavits at the High Court of Malaya, Kuala Lumpur, Malaysia. Includes drafting, internal review, and court filing fees.</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RM 8,500.00</w:t>
            </w:r>
          </w:p>
        </w:tc>
      </w:tr>
      <w:tr>
        <w:tc>
          <w:tcPr/>
          <w:p>
            <w:pPr>
              <w:pStyle w:val="Compact"/>
              <w:jc w:val="left"/>
            </w:pPr>
            <w:r>
              <w:t xml:space="preserve">3</w:t>
            </w:r>
          </w:p>
        </w:tc>
        <w:tc>
          <w:tcPr/>
          <w:p>
            <w:pPr>
              <w:pStyle w:val="Compact"/>
              <w:jc w:val="left"/>
            </w:pPr>
            <w:r>
              <w:t xml:space="preserve">Pre-trial case management conferences (up to 3 sittings) attended by the assigned</w:t>
            </w:r>
            <w:r>
              <w:t xml:space="preserve"> </w:t>
            </w:r>
            <w:r>
              <w:t xml:space="preserve">Lawyer</w:t>
            </w:r>
            <w:r>
              <w:t xml:space="preserve"> </w:t>
            </w:r>
            <w:r>
              <w:t xml:space="preserve">and junior counsel in Kuala Lumpur, Malaysia.</w:t>
            </w:r>
          </w:p>
        </w:tc>
        <w:tc>
          <w:tcPr/>
          <w:p>
            <w:pPr>
              <w:pStyle w:val="Compact"/>
              <w:jc w:val="left"/>
            </w:pPr>
            <w:r>
              <w:t xml:space="preserve">RM 350.00 / hour</w:t>
            </w:r>
          </w:p>
        </w:tc>
        <w:tc>
          <w:tcPr/>
          <w:p>
            <w:pPr>
              <w:pStyle w:val="Compact"/>
              <w:jc w:val="left"/>
            </w:pPr>
            <w:r>
              <w:t xml:space="preserve">9 hours</w:t>
            </w:r>
          </w:p>
        </w:tc>
        <w:tc>
          <w:tcPr/>
          <w:p>
            <w:pPr>
              <w:pStyle w:val="Compact"/>
              <w:jc w:val="left"/>
            </w:pPr>
            <w:r>
              <w:t xml:space="preserve">RM 3,150.00</w:t>
            </w:r>
          </w:p>
        </w:tc>
      </w:tr>
      <w:tr>
        <w:tc>
          <w:tcPr/>
          <w:p>
            <w:pPr>
              <w:pStyle w:val="Compact"/>
              <w:jc w:val="left"/>
            </w:pPr>
            <w:r>
              <w:t xml:space="preserve">4</w:t>
            </w:r>
          </w:p>
        </w:tc>
        <w:tc>
          <w:tcPr/>
          <w:p>
            <w:pPr>
              <w:pStyle w:val="Compact"/>
              <w:jc w:val="left"/>
            </w:pPr>
            <w:r>
              <w:t xml:space="preserve">Full trial representation before the High Court of Malaya, Kuala Lumpur, Malaysia, including cross-examination of witnesses, submission of written arguments, and oral advocacy. Estimated over 5 court days.</w:t>
            </w:r>
          </w:p>
        </w:tc>
        <w:tc>
          <w:tcPr/>
          <w:p>
            <w:pPr>
              <w:pStyle w:val="Compact"/>
              <w:jc w:val="left"/>
            </w:pPr>
            <w:r>
              <w:t xml:space="preserve">RM 600.00 / hour</w:t>
            </w:r>
          </w:p>
        </w:tc>
        <w:tc>
          <w:tcPr/>
          <w:p>
            <w:pPr>
              <w:pStyle w:val="Compact"/>
              <w:jc w:val="left"/>
            </w:pPr>
            <w:r>
              <w:t xml:space="preserve">40 hours</w:t>
            </w:r>
          </w:p>
        </w:tc>
        <w:tc>
          <w:tcPr/>
          <w:p>
            <w:pPr>
              <w:pStyle w:val="Compact"/>
              <w:jc w:val="left"/>
            </w:pPr>
            <w:r>
              <w:t xml:space="preserve">RM 24,000.00</w:t>
            </w:r>
          </w:p>
        </w:tc>
      </w:tr>
      <w:tr>
        <w:tc>
          <w:tcPr/>
          <w:p>
            <w:pPr>
              <w:pStyle w:val="Compact"/>
              <w:jc w:val="left"/>
            </w:pPr>
            <w:r>
              <w:t xml:space="preserve">5</w:t>
            </w:r>
          </w:p>
        </w:tc>
        <w:tc>
          <w:tcPr/>
          <w:p>
            <w:pPr>
              <w:pStyle w:val="Compact"/>
              <w:jc w:val="left"/>
            </w:pPr>
            <w:r>
              <w:t xml:space="preserve">Post-judgment enforcement proceedings, including writ of seizure and sale, garnishee proceedings, and any necessary applications in Kuala Lumpur, Malaysia.</w:t>
            </w:r>
          </w:p>
        </w:tc>
        <w:tc>
          <w:tcPr/>
          <w:p>
            <w:pPr>
              <w:pStyle w:val="Compact"/>
              <w:jc w:val="left"/>
            </w:pPr>
            <w:r>
              <w:t xml:space="preserve">RM 400.00 / hour</w:t>
            </w:r>
          </w:p>
        </w:tc>
        <w:tc>
          <w:tcPr/>
          <w:p>
            <w:pPr>
              <w:pStyle w:val="Compact"/>
              <w:jc w:val="left"/>
            </w:pPr>
            <w:r>
              <w:t xml:space="preserve">10 hours</w:t>
            </w:r>
          </w:p>
        </w:tc>
        <w:tc>
          <w:tcPr/>
          <w:p>
            <w:pPr>
              <w:pStyle w:val="Compact"/>
              <w:jc w:val="left"/>
            </w:pPr>
            <w:r>
              <w:t xml:space="preserve">RM 4,000.00</w:t>
            </w:r>
          </w:p>
        </w:tc>
      </w:tr>
      <w:tr>
        <w:tc>
          <w:tcPr/>
          <w:p>
            <w:pPr>
              <w:pStyle w:val="Compact"/>
              <w:jc w:val="left"/>
            </w:pPr>
            <w:r>
              <w:t xml:space="preserve">6</w:t>
            </w:r>
          </w:p>
        </w:tc>
        <w:tc>
          <w:tcPr/>
          <w:p>
            <w:pPr>
              <w:pStyle w:val="Compact"/>
              <w:jc w:val="left"/>
            </w:pPr>
            <w:r>
              <w:t xml:space="preserve">Legal advisory correspondence, email consultations, and telephone conferences with the client throughout the engagement period in Kuala Lumpur, Malaysia.</w:t>
            </w:r>
          </w:p>
        </w:tc>
        <w:tc>
          <w:tcPr/>
          <w:p>
            <w:pPr>
              <w:pStyle w:val="Compact"/>
              <w:jc w:val="left"/>
            </w:pPr>
            <w:r>
              <w:t xml:space="preserve">RM 300.00 / hour</w:t>
            </w:r>
          </w:p>
        </w:tc>
        <w:tc>
          <w:tcPr/>
          <w:p>
            <w:pPr>
              <w:pStyle w:val="Compact"/>
              <w:jc w:val="left"/>
            </w:pPr>
            <w:r>
              <w:t xml:space="preserve">8 hours</w:t>
            </w:r>
          </w:p>
        </w:tc>
        <w:tc>
          <w:tcPr/>
          <w:p>
            <w:pPr>
              <w:pStyle w:val="Compact"/>
              <w:jc w:val="left"/>
            </w:pPr>
            <w:r>
              <w:t xml:space="preserve">RM 2,400.00</w:t>
            </w:r>
          </w:p>
        </w:tc>
      </w:tr>
      <w:tr>
        <w:tc>
          <w:tcPr/>
          <w:p>
            <w:pPr>
              <w:pStyle w:val="Compact"/>
              <w:jc w:val="left"/>
            </w:pPr>
            <w:r>
              <w:t xml:space="preserve">7</w:t>
            </w:r>
          </w:p>
        </w:tc>
        <w:tc>
          <w:tcPr/>
          <w:p>
            <w:pPr>
              <w:pStyle w:val="Compact"/>
              <w:jc w:val="left"/>
            </w:pPr>
            <w:r>
              <w:t xml:space="preserve">Court filing fees, stamp duties, process server charges, and other statutory disbursements payable to the High Court of Malaya, Kuala Lumpur, Malaysia.</w:t>
            </w:r>
          </w:p>
        </w:tc>
        <w:tc>
          <w:tcPr/>
          <w:p>
            <w:pPr>
              <w:pStyle w:val="Compact"/>
              <w:jc w:val="left"/>
            </w:pPr>
            <w:r>
              <w:t xml:space="preserve">Actual costs</w:t>
            </w:r>
          </w:p>
        </w:tc>
        <w:tc>
          <w:tcPr/>
          <w:p>
            <w:pPr>
              <w:pStyle w:val="Compact"/>
              <w:jc w:val="left"/>
            </w:pPr>
            <w:r>
              <w:t xml:space="preserve">—</w:t>
            </w:r>
          </w:p>
        </w:tc>
        <w:tc>
          <w:tcPr/>
          <w:p>
            <w:pPr>
              <w:pStyle w:val="Compact"/>
              <w:jc w:val="left"/>
            </w:pPr>
            <w:r>
              <w:t xml:space="preserve">RM 3,200.00</w:t>
            </w:r>
          </w:p>
        </w:tc>
      </w:tr>
      <w:tr>
        <w:tc>
          <w:tcPr/>
          <w:p>
            <w:pPr>
              <w:pStyle w:val="Compact"/>
              <w:jc w:val="left"/>
            </w:pPr>
            <w:r>
              <w:t xml:space="preserve">8</w:t>
            </w:r>
          </w:p>
        </w:tc>
        <w:tc>
          <w:tcPr/>
          <w:p>
            <w:pPr>
              <w:pStyle w:val="Compact"/>
              <w:jc w:val="left"/>
            </w:pPr>
            <w:r>
              <w:t xml:space="preserve">Engagement of a specialist forensic accountant for financial evidence preparation, as directed by the</w:t>
            </w:r>
            <w:r>
              <w:t xml:space="preserve"> </w:t>
            </w:r>
            <w:r>
              <w:t xml:space="preserve">Lawyer</w:t>
            </w:r>
            <w:r>
              <w:t xml:space="preserve"> </w:t>
            </w:r>
            <w:r>
              <w:t xml:space="preserve">in Kuala Lumpur, Malaysia.</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RM 5,500.00</w:t>
            </w:r>
          </w:p>
        </w:tc>
      </w:tr>
      <w:tr>
        <w:tc>
          <w:tcPr>
            <w:gridSpan w:val="4"/>
          </w:tcPr>
          <w:p>
            <w:pPr>
              <w:pStyle w:val="Compact"/>
              <w:jc w:val="left"/>
            </w:pPr>
            <w:r>
              <w:t xml:space="preserve">TOTAL ESTIMATED PROFESSIONAL FEES AND DISBURSEMENTS</w:t>
            </w:r>
          </w:p>
        </w:tc>
        <w:tc>
          <w:tcPr/>
          <w:p>
            <w:pPr>
              <w:pStyle w:val="Compact"/>
              <w:jc w:val="left"/>
            </w:pPr>
            <w:r>
              <w:t xml:space="preserve">RM 52,550.00</w:t>
            </w:r>
          </w:p>
        </w:tc>
      </w:tr>
      <w:tr>
        <w:tc>
          <w:tcPr>
            <w:gridSpan w:val="4"/>
          </w:tcPr>
          <w:p>
            <w:pPr>
              <w:pStyle w:val="Compact"/>
              <w:jc w:val="left"/>
            </w:pPr>
            <w:r>
              <w:t xml:space="preserve">Less: 10% Early Engagement Discount</w:t>
            </w:r>
          </w:p>
        </w:tc>
        <w:tc>
          <w:tcPr/>
          <w:p>
            <w:pPr>
              <w:pStyle w:val="Compact"/>
              <w:jc w:val="left"/>
            </w:pPr>
            <w:r>
              <w:t xml:space="preserve">- RM 5,255.00</w:t>
            </w:r>
          </w:p>
        </w:tc>
      </w:tr>
      <w:tr>
        <w:tc>
          <w:tcPr>
            <w:gridSpan w:val="4"/>
          </w:tcPr>
          <w:p>
            <w:pPr>
              <w:pStyle w:val="Compact"/>
              <w:jc w:val="left"/>
            </w:pPr>
            <w:r>
              <w:t xml:space="preserve">NET TOTAL (Inclusive of all applicable taxes)</w:t>
            </w:r>
          </w:p>
        </w:tc>
        <w:tc>
          <w:tcPr/>
          <w:p>
            <w:pPr>
              <w:pStyle w:val="Compact"/>
              <w:jc w:val="left"/>
            </w:pPr>
            <w:r>
              <w:t xml:space="preserve">RM 47,295.00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current facts and circumstances as communicated by the client. Should the scope of the legal matter expand, the</w:t>
      </w:r>
      <w:r>
        <w:t xml:space="preserve"> </w:t>
      </w:r>
      <w:r>
        <w:t xml:space="preserve">Lawyer</w:t>
      </w:r>
      <w:r>
        <w:t xml:space="preserve"> </w:t>
      </w:r>
      <w:r>
        <w:t xml:space="preserve">in Kuala Lumpur, Malaysia, will issue a supplementary</w:t>
      </w:r>
      <w:r>
        <w:t xml:space="preserve"> </w:t>
      </w:r>
      <w:r>
        <w:t xml:space="preserve">Quotation Estimate</w:t>
      </w:r>
      <w:r>
        <w:t xml:space="preserve"> </w:t>
      </w:r>
      <w:r>
        <w:t xml:space="preserve">prior to incurring any additional costs. All fees are quoted in Malaysian Ringgit (MYR) and are exclusive of any Value Added Tax (VAT) where applicable under Malaysian tax law.</w:t>
      </w:r>
    </w:p>
    <w:bookmarkEnd w:id="24"/>
    <w:bookmarkStart w:id="25" w:name="payment-terms"/>
    <w:p>
      <w:pPr>
        <w:pStyle w:val="Heading2"/>
      </w:pPr>
      <w:r>
        <w:t xml:space="preserve">3. Payment Terms</w:t>
      </w:r>
    </w:p>
    <w:p>
      <w:pPr>
        <w:pStyle w:val="FirstParagraph"/>
      </w:pPr>
      <w:r>
        <w:t xml:space="preserve">The client shall settle the fees outlined in this</w:t>
      </w:r>
      <w:r>
        <w:t xml:space="preserve"> </w:t>
      </w:r>
      <w:r>
        <w:t xml:space="preserve">Quotation Estimate</w:t>
      </w:r>
      <w:r>
        <w:t xml:space="preserve"> </w:t>
      </w:r>
      <w:r>
        <w:t xml:space="preserve">as follows: a retainer of 30% (RM 14,188.50) payable upon acceptance of this</w:t>
      </w:r>
      <w:r>
        <w:t xml:space="preserve"> </w:t>
      </w:r>
      <w:r>
        <w:t xml:space="preserve">Quotation Estimate</w:t>
      </w:r>
      <w:r>
        <w:t xml:space="preserve">; 40% (RM 18,918.00) payable upon filing of the Statement of Claim at the High Court of Malaya, Kuala Lumpur, Malaysia; and the remaining 30% (RM 14,188.50) payable upon conclusion of trial proceedings. All payments shall be made via bank transfer to the firm's designated account in Kuala Lumpur, Malaysia. Late payments shall attract interest at the rate of 5% per annum as permitted under Malaysian contract law.</w:t>
      </w:r>
    </w:p>
    <w:bookmarkEnd w:id="25"/>
    <w:bookmarkStart w:id="26" w:name="validity-and-acceptance"/>
    <w:p>
      <w:pPr>
        <w:pStyle w:val="Heading2"/>
      </w:pPr>
      <w:r>
        <w:t xml:space="preserve">4. Validity and Acceptance</w:t>
      </w:r>
    </w:p>
    <w:p>
      <w:pPr>
        <w:pStyle w:val="FirstParagraph"/>
      </w:pPr>
      <w:r>
        <w:t xml:space="preserve">This</w:t>
      </w:r>
      <w:r>
        <w:t xml:space="preserve"> </w:t>
      </w:r>
      <w:r>
        <w:t xml:space="preserve">Quotation Estimate</w:t>
      </w:r>
      <w:r>
        <w:t xml:space="preserve"> </w:t>
      </w:r>
      <w:r>
        <w:t xml:space="preserve">shall remain valid for a period of thirty (30) calendar days from the date of issue, i.e., until 14 July 2025. Acceptance of this</w:t>
      </w:r>
      <w:r>
        <w:t xml:space="preserve"> </w:t>
      </w:r>
      <w:r>
        <w:t xml:space="preserve">Quotation Estimate</w:t>
      </w:r>
      <w:r>
        <w:t xml:space="preserve"> </w:t>
      </w:r>
      <w:r>
        <w:t xml:space="preserve">constitutes a binding engagement between the client and the</w:t>
      </w:r>
      <w:r>
        <w:t xml:space="preserve"> </w:t>
      </w:r>
      <w:r>
        <w:t xml:space="preserve">Lawyer</w:t>
      </w:r>
      <w:r>
        <w:t xml:space="preserve"> </w:t>
      </w:r>
      <w:r>
        <w:t xml:space="preserve">firm in Kuala Lumpur, Malaysia, and shall be governed by the laws of Malaysia. The client is requested to sign and return a copy of this document within the validity period to confirm the engagement.</w:t>
      </w:r>
    </w:p>
    <w:bookmarkEnd w:id="26"/>
    <w:bookmarkStart w:id="27" w:name="X257a343d1012c8f5c9a30f0e62de230c1edc12f"/>
    <w:p>
      <w:pPr>
        <w:pStyle w:val="Heading2"/>
      </w:pPr>
      <w:r>
        <w:t xml:space="preserve">5. Professional Standards and Confidentiality</w:t>
      </w:r>
    </w:p>
    <w:p>
      <w:pPr>
        <w:pStyle w:val="FirstParagraph"/>
      </w:pPr>
      <w:r>
        <w:t xml:space="preserve">All legal services rendered under this</w:t>
      </w:r>
      <w:r>
        <w:t xml:space="preserve"> </w:t>
      </w:r>
      <w:r>
        <w:t xml:space="preserve">Quotation Estimate</w:t>
      </w:r>
      <w:r>
        <w:t xml:space="preserve"> </w:t>
      </w:r>
      <w:r>
        <w:t xml:space="preserve">shall be performed in strict compliance with the Legal Profession Act 1976 (Malaysia), the Rules of Professional Conduct and Ethics, and the standards upheld by the Bar Council of Malaysia. The</w:t>
      </w:r>
      <w:r>
        <w:t xml:space="preserve"> </w:t>
      </w:r>
      <w:r>
        <w:t xml:space="preserve">Lawyer</w:t>
      </w:r>
      <w:r>
        <w:t xml:space="preserve"> </w:t>
      </w:r>
      <w:r>
        <w:t xml:space="preserve">and all associated staff in Kuala Lumpur, Malaysia, shall maintain absolute confidentiality over all client information, documents, and communications in accordance with Section 201 of the Penal Code of Malaysia and the firm's internal data protection policies aligned with the Personal Data Protection Act 2010 (PDPA).</w:t>
      </w:r>
    </w:p>
    <w:bookmarkEnd w:id="27"/>
    <w:bookmarkStart w:id="28" w:name="terms-and-conditions"/>
    <w:p>
      <w:pPr>
        <w:pStyle w:val="Heading2"/>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does not constitute a guarantee of any particular legal outcome. The</w:t>
      </w:r>
      <w:r>
        <w:t xml:space="preserve"> </w:t>
      </w:r>
      <w:r>
        <w:t xml:space="preserve">Lawyer</w:t>
      </w:r>
      <w:r>
        <w:t xml:space="preserve"> </w:t>
      </w:r>
      <w:r>
        <w:t xml:space="preserve">in Kuala Lumpur, Malaysia, shall exercise reasonable professional skill and diligence in the conduct of the matter.</w:t>
      </w:r>
    </w:p>
    <w:p>
      <w:pPr>
        <w:numPr>
          <w:ilvl w:val="0"/>
          <w:numId w:val="1001"/>
        </w:numPr>
        <w:pStyle w:val="Compact"/>
      </w:pPr>
      <w:r>
        <w:t xml:space="preserve">The client shall provide all necessary documents, information, and cooperation promptly. Delays caused by the client may result in additional costs, which will be itemised in a revised</w:t>
      </w:r>
      <w:r>
        <w:t xml:space="preserve"> </w:t>
      </w:r>
      <w:r>
        <w:t xml:space="preserve">Quotation Estimate</w:t>
      </w:r>
      <w:r>
        <w:t xml:space="preserve">.</w:t>
      </w:r>
    </w:p>
    <w:p>
      <w:pPr>
        <w:numPr>
          <w:ilvl w:val="0"/>
          <w:numId w:val="1001"/>
        </w:numPr>
        <w:pStyle w:val="Compact"/>
      </w:pPr>
      <w:r>
        <w:t xml:space="preserve">The</w:t>
      </w:r>
      <w:r>
        <w:t xml:space="preserve"> </w:t>
      </w:r>
      <w:r>
        <w:t xml:space="preserve">Lawyer</w:t>
      </w:r>
      <w:r>
        <w:t xml:space="preserve"> </w:t>
      </w:r>
      <w:r>
        <w:t xml:space="preserve">reserves the right to withdraw from the engagement upon thirty (30) days' written notice, subject to the client's right to a full refund of any unearned fees as per Malaysian legal practice standards.</w:t>
      </w:r>
    </w:p>
    <w:p>
      <w:pPr>
        <w:numPr>
          <w:ilvl w:val="0"/>
          <w:numId w:val="1001"/>
        </w:numPr>
        <w:pStyle w:val="Compact"/>
      </w:pPr>
      <w:r>
        <w:t xml:space="preserve">All disputes arising from this</w:t>
      </w:r>
      <w:r>
        <w:t xml:space="preserve"> </w:t>
      </w:r>
      <w:r>
        <w:t xml:space="preserve">Quotation Estimate</w:t>
      </w:r>
      <w:r>
        <w:t xml:space="preserve"> </w:t>
      </w:r>
      <w:r>
        <w:t xml:space="preserve">or the engagement shall be resolved through mediation in Kuala Lumpur, Malaysia, in accordance with the Mediation Centre for Commercial Disputes (MCCD) procedures, before any litigation is commenced.</w:t>
      </w:r>
    </w:p>
    <w:p>
      <w:pPr>
        <w:numPr>
          <w:ilvl w:val="0"/>
          <w:numId w:val="1001"/>
        </w:numPr>
        <w:pStyle w:val="Compact"/>
      </w:pPr>
      <w:r>
        <w:t xml:space="preserve">This</w:t>
      </w:r>
      <w:r>
        <w:t xml:space="preserve"> </w:t>
      </w:r>
      <w:r>
        <w:t xml:space="preserve">Quotation Estimate</w:t>
      </w:r>
      <w:r>
        <w:t xml:space="preserve"> </w:t>
      </w:r>
      <w:r>
        <w:t xml:space="preserve">is the property of Meridian &amp; Associates Legal Chambers and shall not be reproduced or distributed without prior written consent of the</w:t>
      </w:r>
      <w:r>
        <w:t xml:space="preserve"> </w:t>
      </w:r>
      <w:r>
        <w:t xml:space="preserve">Lawyer</w:t>
      </w:r>
      <w:r>
        <w:t xml:space="preserve"> </w:t>
      </w:r>
      <w:r>
        <w:t xml:space="preserve">firm in Kuala Lumpur, Malaysia.</w:t>
      </w:r>
    </w:p>
    <w:bookmarkEnd w:id="28"/>
    <w:bookmarkStart w:id="29" w:name="acceptance-and-signatures"/>
    <w:p>
      <w:pPr>
        <w:pStyle w:val="Heading2"/>
      </w:pPr>
      <w:r>
        <w:t xml:space="preserve">7. Acceptance and Signatures</w:t>
      </w:r>
    </w:p>
    <w:p>
      <w:pPr>
        <w:pStyle w:val="FirstParagraph"/>
      </w:pPr>
      <w:r>
        <w:rPr>
          <w:bCs/>
          <w:b/>
        </w:rPr>
        <w:t xml:space="preserve">For and on behalf of the Firm:</w:t>
      </w:r>
    </w:p>
    <w:p>
      <w:pPr>
        <w:pStyle w:val="BodyText"/>
      </w:pPr>
      <w:r>
        <w:rPr>
          <w:bCs/>
          <w:b/>
        </w:rPr>
        <w:t xml:space="preserve">Dato' Sri Nurul Aisyah binti Rahman</w:t>
      </w:r>
      <w:r>
        <w:br/>
      </w:r>
      <w:r>
        <w:t xml:space="preserve">Advocate &amp; Solicitor, Lead</w:t>
      </w:r>
      <w:r>
        <w:t xml:space="preserve"> </w:t>
      </w:r>
      <w:r>
        <w:t xml:space="preserve">Lawyer</w:t>
      </w:r>
      <w:r>
        <w:br/>
      </w:r>
      <w:r>
        <w:t xml:space="preserve">Meridian &amp; Associates Legal Chambers</w:t>
      </w:r>
      <w:r>
        <w:br/>
      </w:r>
      <w:r>
        <w:t xml:space="preserve">Kuala Lumpur, Malaysia</w:t>
      </w:r>
      <w:r>
        <w:br/>
      </w:r>
      <w:r>
        <w:t xml:space="preserve">Date: _______________</w:t>
      </w:r>
    </w:p>
    <w:p>
      <w:pPr>
        <w:pStyle w:val="BodyText"/>
      </w:pPr>
      <w:r>
        <w:rPr>
          <w:bCs/>
          <w:b/>
        </w:rPr>
        <w:t xml:space="preserve">Accepted by the Client:</w:t>
      </w:r>
    </w:p>
    <w:p>
      <w:pPr>
        <w:pStyle w:val="BodyText"/>
      </w:pPr>
      <w:r>
        <w:rPr>
          <w:bCs/>
          <w:b/>
        </w:rPr>
        <w:t xml:space="preserve">Mr. Tan Wei Keat</w:t>
      </w:r>
      <w:r>
        <w:br/>
      </w:r>
      <w:r>
        <w:t xml:space="preserve">Client</w:t>
      </w:r>
      <w:r>
        <w:br/>
      </w:r>
      <w:r>
        <w:t xml:space="preserve">Kuala Lumpur, Malaysia</w:t>
      </w:r>
      <w:r>
        <w:br/>
      </w:r>
      <w:r>
        <w:t xml:space="preserve">Date: _______________</w:t>
      </w:r>
    </w:p>
    <w:p>
      <w:pPr>
        <w:pStyle w:val="BodyText"/>
      </w:pPr>
      <w:r>
        <w:t xml:space="preserve">Meridian &amp; Associates Legal Chambers | Suite 1204, Level 12, Menara KL Sentral, 50470 Kuala Lumpur, Malaysia</w:t>
      </w:r>
      <w:r>
        <w:br/>
      </w:r>
      <w:r>
        <w:t xml:space="preserve">This</w:t>
      </w:r>
      <w:r>
        <w:t xml:space="preserve"> </w:t>
      </w:r>
      <w:r>
        <w:t xml:space="preserve">Quotation Estimate</w:t>
      </w:r>
      <w:r>
        <w:t xml:space="preserve"> </w:t>
      </w:r>
      <w:r>
        <w:t xml:space="preserve">is issued in duplicate. One copy for the</w:t>
      </w:r>
      <w:r>
        <w:t xml:space="preserve"> </w:t>
      </w:r>
      <w:r>
        <w:t xml:space="preserve">Lawyer</w:t>
      </w:r>
      <w:r>
        <w:t xml:space="preserve">'s records and one copy for the client. Quotation No. MA/QE/2025/00347</w:t>
      </w:r>
      <w:r>
        <w:br/>
      </w:r>
      <w:r>
        <w:t xml:space="preserve">© 2025 Meridian &amp; Associates Legal Chambers. All rights reserved. | Bar Council of Malaysia Registered | Kuala Lumpur, Malaysia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Kuala Lumpur, Malaysia</dc:title>
  <dc:creator/>
  <dc:language>en</dc:language>
  <cp:keywords/>
  <dcterms:created xsi:type="dcterms:W3CDTF">2026-10-10T08:41:47Z</dcterms:created>
  <dcterms:modified xsi:type="dcterms:W3CDTF">2026-10-10T08:41:47Z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