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quotation-estimate"/>
    <w:p>
      <w:pPr>
        <w:pStyle w:val="Heading1"/>
      </w:pPr>
      <w:r>
        <w:t xml:space="preserve">QUOTATION ESTIMATE</w:t>
      </w:r>
    </w:p>
    <w:p>
      <w:pPr>
        <w:pStyle w:val="FirstParagraph"/>
      </w:pPr>
      <w:r>
        <w:t xml:space="preserve">Professional Legal Services — Amsterdam, Netherlands</w:t>
      </w:r>
    </w:p>
    <w:p>
      <w:pPr>
        <w:pStyle w:val="BodyText"/>
      </w:pPr>
      <w:r>
        <w:t xml:space="preserve">Document Reference: QE-AMS-2025-0472</w:t>
      </w:r>
    </w:p>
    <w:bookmarkEnd w:id="20"/>
    <w:bookmarkStart w:id="21" w:name="law-firm-provider"/>
    <w:p>
      <w:pPr>
        <w:pStyle w:val="Heading3"/>
      </w:pPr>
      <w:r>
        <w:t xml:space="preserve">Law Firm (Provider)</w:t>
      </w:r>
    </w:p>
    <w:p>
      <w:pPr>
        <w:pStyle w:val="FirstParagraph"/>
      </w:pPr>
      <w:r>
        <w:rPr>
          <w:bCs/>
          <w:b/>
        </w:rPr>
        <w:t xml:space="preserve">Van der Berg &amp; Partners Advocaten</w:t>
      </w:r>
    </w:p>
    <w:p>
      <w:pPr>
        <w:pStyle w:val="BodyText"/>
      </w:pPr>
      <w:r>
        <w:t xml:space="preserve">Herengracht 412, 1017 BX</w:t>
      </w:r>
    </w:p>
    <w:p>
      <w:pPr>
        <w:pStyle w:val="BodyText"/>
      </w:pPr>
      <w:r>
        <w:t xml:space="preserve">Amsterdam, The Netherlands</w:t>
      </w:r>
    </w:p>
    <w:p>
      <w:pPr>
        <w:pStyle w:val="BodyText"/>
      </w:pPr>
      <w:r>
        <w:t xml:space="preserve">Tel: +31 (0)20 555 0147</w:t>
      </w:r>
    </w:p>
    <w:p>
      <w:pPr>
        <w:pStyle w:val="BodyText"/>
      </w:pPr>
      <w:r>
        <w:t xml:space="preserve">Email: intake@vandenbergpartners.nl</w:t>
      </w:r>
    </w:p>
    <w:p>
      <w:pPr>
        <w:pStyle w:val="BodyText"/>
      </w:pPr>
      <w:r>
        <w:t xml:space="preserve">KvK: 67890123 | BTW: NL861234567B01</w:t>
      </w:r>
    </w:p>
    <w:bookmarkEnd w:id="21"/>
    <w:bookmarkStart w:id="22" w:name="client-recipient"/>
    <w:p>
      <w:pPr>
        <w:pStyle w:val="Heading3"/>
      </w:pPr>
      <w:r>
        <w:t xml:space="preserve">Client (Recipient)</w:t>
      </w:r>
    </w:p>
    <w:p>
      <w:pPr>
        <w:pStyle w:val="FirstParagraph"/>
      </w:pPr>
      <w:r>
        <w:rPr>
          <w:bCs/>
          <w:b/>
        </w:rPr>
        <w:t xml:space="preserve">Mr. J. A. de Vries</w:t>
      </w:r>
    </w:p>
    <w:p>
      <w:pPr>
        <w:pStyle w:val="BodyText"/>
      </w:pPr>
      <w:r>
        <w:t xml:space="preserve">Keizersgracht 88, 1015 CJ</w:t>
      </w:r>
    </w:p>
    <w:p>
      <w:pPr>
        <w:pStyle w:val="BodyText"/>
      </w:pPr>
      <w:r>
        <w:t xml:space="preserve">Amsterdam, The Netherlands</w:t>
      </w:r>
    </w:p>
    <w:p>
      <w:pPr>
        <w:pStyle w:val="BodyText"/>
      </w:pPr>
      <w:r>
        <w:t xml:space="preserve">Tel: +31 (0)6 1234 5678</w:t>
      </w:r>
    </w:p>
    <w:p>
      <w:pPr>
        <w:pStyle w:val="BodyText"/>
      </w:pPr>
      <w:r>
        <w:t xml:space="preserve">Email: j.devries@clientmail.nl</w:t>
      </w:r>
    </w:p>
    <w:p>
      <w:pPr>
        <w:pStyle w:val="BodyText"/>
      </w:pPr>
      <w:r>
        <w:t xml:space="preserve">Client File No.: CF-2025-0318</w:t>
      </w:r>
    </w:p>
    <w:bookmarkEnd w:id="22"/>
    <w:p>
      <w:pPr>
        <w:pStyle w:val="BodyText"/>
      </w:pPr>
      <w:r>
        <w:rPr>
          <w:bCs/>
          <w:b/>
        </w:rPr>
        <w:t xml:space="preserve">Quotation Estimate Date: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Prepared By:</w:t>
      </w:r>
      <w:r>
        <w:t xml:space="preserve"> </w:t>
      </w:r>
      <w:r>
        <w:t xml:space="preserve">Mr. S. van der Berg, Advocate (Admission No. 4521, Bar of Amsterdam)</w:t>
      </w:r>
    </w:p>
    <w:p>
      <w:pPr>
        <w:pStyle w:val="BodyText"/>
      </w:pPr>
      <w:r>
        <w:rPr>
          <w:bCs/>
          <w:b/>
        </w:rPr>
        <w:t xml:space="preserve">Subject:</w:t>
      </w:r>
      <w:r>
        <w:t xml:space="preserve"> </w:t>
      </w:r>
      <w:r>
        <w:t xml:space="preserve">Quotation Estimate for Comprehensive Legal Representation — Commercial Contract Dispute</w:t>
      </w:r>
    </w:p>
    <w:bookmarkStart w:id="23" w:name="scope-of-legal-services"/>
    <w:p>
      <w:pPr>
        <w:pStyle w:val="Heading2"/>
      </w:pPr>
      <w:r>
        <w:t xml:space="preserve">1. Scope of Legal Services</w:t>
      </w:r>
    </w:p>
    <w:p>
      <w:pPr>
        <w:pStyle w:val="FirstParagraph"/>
      </w:pPr>
      <w:r>
        <w:t xml:space="preserve">This Quotation Estimate is issued by Van der Berg &amp; Partners Advocaten, a registered law firm practising in Amsterdam, Netherlands, in response to the client's request for professional legal counsel. The Lawyer assigned to this matter, Mr. S. van der Berg, will provide full-spectrum legal representation in connection with a commercial contract dispute involving a supply agreement between the client and a third-party vendor registered in the Netherlands. The scope of work encompasses the following areas of legal practice as governed by the Dutch Civil Code (Burgerlijk Wetboek) and applicable regulations of the Netherlands:</w:t>
      </w:r>
    </w:p>
    <w:p>
      <w:pPr>
        <w:numPr>
          <w:ilvl w:val="0"/>
          <w:numId w:val="1001"/>
        </w:numPr>
        <w:pStyle w:val="Compact"/>
      </w:pPr>
      <w:r>
        <w:t xml:space="preserve">Initial legal consultation and case assessment in Amsterdam, Netherlands (up to 2 hours).</w:t>
      </w:r>
    </w:p>
    <w:p>
      <w:pPr>
        <w:numPr>
          <w:ilvl w:val="0"/>
          <w:numId w:val="1001"/>
        </w:numPr>
        <w:pStyle w:val="Compact"/>
      </w:pPr>
      <w:r>
        <w:t xml:space="preserve">Review, analysis, and annotation of all relevant contractual documents, correspondence, and supporting evidence.</w:t>
      </w:r>
    </w:p>
    <w:p>
      <w:pPr>
        <w:numPr>
          <w:ilvl w:val="0"/>
          <w:numId w:val="1001"/>
        </w:numPr>
        <w:pStyle w:val="Compact"/>
      </w:pPr>
      <w:r>
        <w:t xml:space="preserve">Drafting and service of a formal letter of demand (aanmaning) in accordance with Dutch procedural law.</w:t>
      </w:r>
    </w:p>
    <w:p>
      <w:pPr>
        <w:numPr>
          <w:ilvl w:val="0"/>
          <w:numId w:val="1001"/>
        </w:numPr>
        <w:pStyle w:val="Compact"/>
      </w:pPr>
      <w:r>
        <w:t xml:space="preserve">Preparation of a statement of claim (dagvaarding) for filing before the District Court of Amsterdam (Rechtbank Amsterdam), Civil Division.</w:t>
      </w:r>
    </w:p>
    <w:p>
      <w:pPr>
        <w:numPr>
          <w:ilvl w:val="0"/>
          <w:numId w:val="1001"/>
        </w:numPr>
        <w:pStyle w:val="Compact"/>
      </w:pPr>
      <w:r>
        <w:t xml:space="preserve">Representation of the client at all preliminary hearings, interlocutory proceedings, and the main trial before the court in Amsterdam, Netherlands.</w:t>
      </w:r>
    </w:p>
    <w:p>
      <w:pPr>
        <w:numPr>
          <w:ilvl w:val="0"/>
          <w:numId w:val="1001"/>
        </w:numPr>
        <w:pStyle w:val="Compact"/>
      </w:pPr>
      <w:r>
        <w:t xml:space="preserve">Negotiation of a potential settlement or mediation process under the auspices of the Dutch Mediation Act (Wet mededinging en mededingingsbeperkingen).</w:t>
      </w:r>
    </w:p>
    <w:p>
      <w:pPr>
        <w:numPr>
          <w:ilvl w:val="0"/>
          <w:numId w:val="1001"/>
        </w:numPr>
        <w:pStyle w:val="Compact"/>
      </w:pPr>
      <w:r>
        <w:t xml:space="preserve">Post-judgment enforcement proceedings, if applicable, within the jurisdiction of the Netherlands.</w:t>
      </w:r>
    </w:p>
    <w:p>
      <w:pPr>
        <w:numPr>
          <w:ilvl w:val="0"/>
          <w:numId w:val="1001"/>
        </w:numPr>
        <w:pStyle w:val="Compact"/>
      </w:pPr>
      <w:r>
        <w:t xml:space="preserve">General legal advisory correspondence and telephone consultations throughout the duration of the matter.</w:t>
      </w:r>
    </w:p>
    <w:bookmarkEnd w:id="23"/>
    <w:bookmarkStart w:id="24" w:name="fee-structure-and-cost-breakdown"/>
    <w:p>
      <w:pPr>
        <w:pStyle w:val="Heading2"/>
      </w:pPr>
      <w:r>
        <w:t xml:space="preserve">2. Fee Structure and Cost Breakdown</w:t>
      </w:r>
    </w:p>
    <w:p>
      <w:pPr>
        <w:pStyle w:val="FirstParagraph"/>
      </w:pPr>
      <w:r>
        <w:t xml:space="preserve">The following Quotation Estimate sets out the anticipated fees and costs for the legal services described above. All rates are in accordance with the fee schedule of the Bar of Amsterdam and the Dutch Lawyers' Tariff (Advocaten Tarief). The Lawyer's professional fees are calculated on an hourly basis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Hourly Rate (EUR)</w:t>
            </w:r>
          </w:p>
        </w:tc>
        <w:tc>
          <w:tcPr/>
          <w:p>
            <w:pPr>
              <w:pStyle w:val="Compact"/>
              <w:jc w:val="left"/>
            </w:pPr>
            <w:r>
              <w:t xml:space="preserve">Estimated Cost (EUR)</w:t>
            </w:r>
          </w:p>
        </w:tc>
      </w:tr>
      <w:tr>
        <w:tc>
          <w:tcPr/>
          <w:p>
            <w:pPr>
              <w:pStyle w:val="Compact"/>
              <w:jc w:val="left"/>
            </w:pPr>
            <w:r>
              <w:t xml:space="preserve">1</w:t>
            </w:r>
          </w:p>
        </w:tc>
        <w:tc>
          <w:tcPr/>
          <w:p>
            <w:pPr>
              <w:pStyle w:val="Compact"/>
              <w:jc w:val="left"/>
            </w:pPr>
            <w:r>
              <w:t xml:space="preserve">Initial consultation and case assessment (Amsterdam, Netherlands)</w:t>
            </w:r>
          </w:p>
        </w:tc>
        <w:tc>
          <w:tcPr/>
          <w:p>
            <w:pPr>
              <w:pStyle w:val="Compact"/>
              <w:jc w:val="left"/>
            </w:pPr>
            <w:r>
              <w:t xml:space="preserve">2.0</w:t>
            </w:r>
          </w:p>
        </w:tc>
        <w:tc>
          <w:tcPr/>
          <w:p>
            <w:pPr>
              <w:pStyle w:val="Compact"/>
              <w:jc w:val="left"/>
            </w:pPr>
            <w:r>
              <w:t xml:space="preserve">€275.00</w:t>
            </w:r>
          </w:p>
        </w:tc>
        <w:tc>
          <w:tcPr/>
          <w:p>
            <w:pPr>
              <w:pStyle w:val="Compact"/>
              <w:jc w:val="left"/>
            </w:pPr>
            <w:r>
              <w:t xml:space="preserve">€550.00</w:t>
            </w:r>
          </w:p>
        </w:tc>
      </w:tr>
      <w:tr>
        <w:tc>
          <w:tcPr/>
          <w:p>
            <w:pPr>
              <w:pStyle w:val="Compact"/>
              <w:jc w:val="left"/>
            </w:pPr>
            <w:r>
              <w:t xml:space="preserve">2</w:t>
            </w:r>
          </w:p>
        </w:tc>
        <w:tc>
          <w:tcPr/>
          <w:p>
            <w:pPr>
              <w:pStyle w:val="Compact"/>
              <w:jc w:val="left"/>
            </w:pPr>
            <w:r>
              <w:t xml:space="preserve">Document review, legal analysis, and file preparation</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Drafting and service of formal letter of demand</w:t>
            </w:r>
          </w:p>
        </w:tc>
        <w:tc>
          <w:tcPr/>
          <w:p>
            <w:pPr>
              <w:pStyle w:val="Compact"/>
              <w:jc w:val="left"/>
            </w:pPr>
            <w:r>
              <w:t xml:space="preserve">3.0</w:t>
            </w:r>
          </w:p>
        </w:tc>
        <w:tc>
          <w:tcPr/>
          <w:p>
            <w:pPr>
              <w:pStyle w:val="Compact"/>
              <w:jc w:val="left"/>
            </w:pPr>
            <w:r>
              <w:t xml:space="preserve">€275.00</w:t>
            </w:r>
          </w:p>
        </w:tc>
        <w:tc>
          <w:tcPr/>
          <w:p>
            <w:pPr>
              <w:pStyle w:val="Compact"/>
              <w:jc w:val="left"/>
            </w:pPr>
            <w:r>
              <w:t xml:space="preserve">€825.00</w:t>
            </w:r>
          </w:p>
        </w:tc>
      </w:tr>
      <w:tr>
        <w:tc>
          <w:tcPr/>
          <w:p>
            <w:pPr>
              <w:pStyle w:val="Compact"/>
              <w:jc w:val="left"/>
            </w:pPr>
            <w:r>
              <w:t xml:space="preserve">4</w:t>
            </w:r>
          </w:p>
        </w:tc>
        <w:tc>
          <w:tcPr/>
          <w:p>
            <w:pPr>
              <w:pStyle w:val="Compact"/>
              <w:jc w:val="left"/>
            </w:pPr>
            <w:r>
              <w:t xml:space="preserve">Preparation and filing of statement of claim (Rechtbank Amsterdam)</w:t>
            </w:r>
          </w:p>
        </w:tc>
        <w:tc>
          <w:tcPr/>
          <w:p>
            <w:pPr>
              <w:pStyle w:val="Compact"/>
              <w:jc w:val="left"/>
            </w:pPr>
            <w:r>
              <w:t xml:space="preserve">6.0</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Court representation — preliminary hearings (estimated 2 sessions)</w:t>
            </w:r>
          </w:p>
        </w:tc>
        <w:tc>
          <w:tcPr/>
          <w:p>
            <w:pPr>
              <w:pStyle w:val="Compact"/>
              <w:jc w:val="left"/>
            </w:pPr>
            <w:r>
              <w:t xml:space="preserve">6.0</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Court representation — main trial (estimated 1 full day)</w:t>
            </w:r>
          </w:p>
        </w:tc>
        <w:tc>
          <w:tcPr/>
          <w:p>
            <w:pPr>
              <w:pStyle w:val="Compact"/>
              <w:jc w:val="left"/>
            </w:pPr>
            <w:r>
              <w:t xml:space="preserve">8.0</w:t>
            </w:r>
          </w:p>
        </w:tc>
        <w:tc>
          <w:tcPr/>
          <w:p>
            <w:pPr>
              <w:pStyle w:val="Compact"/>
              <w:jc w:val="left"/>
            </w:pPr>
            <w:r>
              <w:t xml:space="preserve">€275.00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Settlement negotiations / mediation facilitation</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8</w:t>
            </w:r>
          </w:p>
        </w:tc>
        <w:tc>
          <w:tcPr/>
          <w:p>
            <w:pPr>
              <w:pStyle w:val="Compact"/>
              <w:jc w:val="left"/>
            </w:pPr>
            <w:r>
              <w:t xml:space="preserve">Post-judgment enforcement and follow-up advisory</w:t>
            </w:r>
          </w:p>
        </w:tc>
        <w:tc>
          <w:tcPr/>
          <w:p>
            <w:pPr>
              <w:pStyle w:val="Compact"/>
              <w:jc w:val="left"/>
            </w:pPr>
            <w:r>
              <w:t xml:space="preserve">3.0</w:t>
            </w:r>
          </w:p>
        </w:tc>
        <w:tc>
          <w:tcPr/>
          <w:p>
            <w:pPr>
              <w:pStyle w:val="Compact"/>
              <w:jc w:val="left"/>
            </w:pPr>
            <w:r>
              <w:t xml:space="preserve">€275.00</w:t>
            </w:r>
          </w:p>
        </w:tc>
        <w:tc>
          <w:tcPr/>
          <w:p>
            <w:pPr>
              <w:pStyle w:val="Compact"/>
              <w:jc w:val="left"/>
            </w:pPr>
            <w:r>
              <w:t xml:space="preserve">€825.00</w:t>
            </w:r>
          </w:p>
        </w:tc>
      </w:tr>
      <w:tr>
        <w:tc>
          <w:tcPr/>
          <w:p>
            <w:pPr>
              <w:pStyle w:val="Compact"/>
              <w:jc w:val="left"/>
            </w:pPr>
            <w:r>
              <w:t xml:space="preserve">9</w:t>
            </w:r>
          </w:p>
        </w:tc>
        <w:tc>
          <w:tcPr/>
          <w:p>
            <w:pPr>
              <w:pStyle w:val="Compact"/>
              <w:jc w:val="left"/>
            </w:pPr>
            <w:r>
              <w:t xml:space="preserve">General correspondence, telephone consultations, and file management</w:t>
            </w:r>
          </w:p>
        </w:tc>
        <w:tc>
          <w:tcPr/>
          <w:p>
            <w:pPr>
              <w:pStyle w:val="Compact"/>
              <w:jc w:val="left"/>
            </w:pPr>
            <w:r>
              <w:t xml:space="preserve">5.0</w:t>
            </w:r>
          </w:p>
        </w:tc>
        <w:tc>
          <w:tcPr/>
          <w:p>
            <w:pPr>
              <w:pStyle w:val="Compact"/>
              <w:jc w:val="left"/>
            </w:pPr>
            <w:r>
              <w:t xml:space="preserve">€275.00</w:t>
            </w:r>
          </w:p>
        </w:tc>
        <w:tc>
          <w:tcPr/>
          <w:p>
            <w:pPr>
              <w:pStyle w:val="Compact"/>
              <w:jc w:val="left"/>
            </w:pPr>
            <w:r>
              <w:t xml:space="preserve">€1,375.00</w:t>
            </w:r>
          </w:p>
        </w:tc>
      </w:tr>
      <w:tr>
        <w:tc>
          <w:tcPr>
            <w:gridSpan w:val="4"/>
          </w:tcPr>
          <w:p>
            <w:pPr>
              <w:pStyle w:val="Compact"/>
              <w:jc w:val="right"/>
            </w:pPr>
            <w:r>
              <w:t xml:space="preserve">Subtotal (Professional Fees)</w:t>
            </w:r>
          </w:p>
        </w:tc>
        <w:tc>
          <w:tcPr/>
          <w:p>
            <w:pPr>
              <w:pStyle w:val="Compact"/>
              <w:jc w:val="left"/>
            </w:pPr>
            <w:r>
              <w:t xml:space="preserve">€12,375.00</w:t>
            </w:r>
          </w:p>
        </w:tc>
      </w:tr>
      <w:tr>
        <w:tc>
          <w:tcPr>
            <w:gridSpan w:val="4"/>
          </w:tcPr>
          <w:p>
            <w:pPr>
              <w:pStyle w:val="Compact"/>
              <w:jc w:val="left"/>
            </w:pPr>
            <w:r>
              <w:t xml:space="preserve">VAT (21% — Netherlands)</w:t>
            </w:r>
          </w:p>
        </w:tc>
        <w:tc>
          <w:tcPr/>
          <w:p>
            <w:pPr>
              <w:pStyle w:val="Compact"/>
              <w:jc w:val="left"/>
            </w:pPr>
            <w:r>
              <w:t xml:space="preserve">€2,598.75</w:t>
            </w:r>
          </w:p>
        </w:tc>
      </w:tr>
      <w:tr>
        <w:tc>
          <w:tcPr>
            <w:gridSpan w:val="4"/>
          </w:tcPr>
          <w:p>
            <w:pPr>
              <w:pStyle w:val="Compact"/>
              <w:jc w:val="right"/>
            </w:pPr>
            <w:r>
              <w:t xml:space="preserve">Total Estimated Cost (incl. VAT)</w:t>
            </w:r>
          </w:p>
        </w:tc>
        <w:tc>
          <w:tcPr/>
          <w:p>
            <w:pPr>
              <w:pStyle w:val="Compact"/>
              <w:jc w:val="left"/>
            </w:pPr>
            <w:r>
              <w:t xml:space="preserve">€14,973.75</w:t>
            </w:r>
          </w:p>
        </w:tc>
      </w:tr>
    </w:tbl>
    <w:p>
      <w:pPr>
        <w:pStyle w:val="BodyText"/>
      </w:pPr>
      <w:r>
        <w:t xml:space="preserve">* All amounts are in Euros (EUR). VAT at the standard Dutch rate of 21% is included. Court filing fees, bailiff costs (deurwaarder), and third-party expert fees are not included in this Quotation Estimate and will be invoiced at actual cost upon incurrence.</w:t>
      </w:r>
    </w:p>
    <w:bookmarkEnd w:id="24"/>
    <w:bookmarkStart w:id="25" w:name="payment-terms-and-conditions"/>
    <w:p>
      <w:pPr>
        <w:pStyle w:val="Heading2"/>
      </w:pPr>
      <w:r>
        <w:t xml:space="preserve">3. Payment Terms and Conditions</w:t>
      </w:r>
    </w:p>
    <w:p>
      <w:pPr>
        <w:pStyle w:val="FirstParagraph"/>
      </w:pPr>
      <w:r>
        <w:t xml:space="preserve">The client agrees to the following payment terms as part of this Quotation Estimate for legal services in Amsterdam, Netherlands:</w:t>
      </w:r>
    </w:p>
    <w:p>
      <w:pPr>
        <w:numPr>
          <w:ilvl w:val="0"/>
          <w:numId w:val="1002"/>
        </w:numPr>
        <w:pStyle w:val="Compact"/>
      </w:pPr>
      <w:r>
        <w:t xml:space="preserve">A retainer fee of 25% of the total estimated amount (€3,743.44 incl. VAT) is due upon acceptance of this Quotation Estimate and prior to the commencement of any legal work.</w:t>
      </w:r>
    </w:p>
    <w:p>
      <w:pPr>
        <w:numPr>
          <w:ilvl w:val="0"/>
          <w:numId w:val="1002"/>
        </w:numPr>
        <w:pStyle w:val="Compact"/>
      </w:pPr>
      <w:r>
        <w:t xml:space="preserve">Monthly interim invoices will be issued on the last working day of each calendar month for services rendered during that period.</w:t>
      </w:r>
    </w:p>
    <w:p>
      <w:pPr>
        <w:numPr>
          <w:ilvl w:val="0"/>
          <w:numId w:val="1002"/>
        </w:numPr>
        <w:pStyle w:val="Compact"/>
      </w:pPr>
      <w:r>
        <w:t xml:space="preserve">The final balance, including any adjustments to the estimated hours, shall be invoiced within 14 days of the conclusion of the matter.</w:t>
      </w:r>
    </w:p>
    <w:p>
      <w:pPr>
        <w:numPr>
          <w:ilvl w:val="0"/>
          <w:numId w:val="1002"/>
        </w:numPr>
        <w:pStyle w:val="Compact"/>
      </w:pPr>
      <w:r>
        <w:t xml:space="preserve">All invoices are payable within 14 calendar days of the invoice date to the firm's bank account: IBAN NL91 ABNA 0417 1643 00, BIC ABNANL2A, reference QE-AMS-2025-0472.</w:t>
      </w:r>
    </w:p>
    <w:p>
      <w:pPr>
        <w:numPr>
          <w:ilvl w:val="0"/>
          <w:numId w:val="1002"/>
        </w:numPr>
        <w:pStyle w:val="Compact"/>
      </w:pPr>
      <w:r>
        <w:t xml:space="preserve">In the event of non-payment, the Lawyer reserves the right to suspend all ongoing legal proceedings and to charge statutory interest at the rate prescribed by Article 6:119 of the Dutch Civil Code.</w:t>
      </w:r>
    </w:p>
    <w:bookmarkEnd w:id="25"/>
    <w:bookmarkStart w:id="27" w:name="important-notes-and-disclaimers"/>
    <w:p>
      <w:pPr>
        <w:pStyle w:val="Heading2"/>
      </w:pPr>
      <w:r>
        <w:t xml:space="preserve">4. Important Notes and Disclaimers</w:t>
      </w:r>
    </w:p>
    <w:bookmarkStart w:id="26" w:name="terms-governing-this-quotation-estimate"/>
    <w:p>
      <w:pPr>
        <w:pStyle w:val="Heading3"/>
      </w:pPr>
      <w:r>
        <w:t xml:space="preserve">Terms Governing This Quotation Estimate</w:t>
      </w:r>
    </w:p>
    <w:p>
      <w:pPr>
        <w:pStyle w:val="FirstParagraph"/>
      </w:pPr>
      <w:r>
        <w:t xml:space="preserve">This Quotation Estimate is a good-faith projection of the legal fees and costs anticipated for the matter described. The actual hours and costs may vary depending on the complexity of the dispute, the number of court appearances required, the responsiveness of the opposing party, and any procedural developments before the courts in Amsterdam, Netherlands. The Lawyer is not bound by this estimate, and the client acknowledges that the final invoice may differ from the figures presented herein.</w:t>
      </w:r>
    </w:p>
    <w:p>
      <w:pPr>
        <w:pStyle w:val="BodyText"/>
      </w:pPr>
      <w:r>
        <w:t xml:space="preserve">This Quotation Estimate does not constitute a guarantee of outcome. The Lawyer will exercise professional diligence in accordance with the Code of Conduct for Dutch Lawyers (Gedragsregels Advocaten) and the rules of the Bar of Amsterdam. The client is advised that legal proceedings in the Netherlands may extend over a period of 12 to 24 months or longer, depending on the court's docket and the nature of the case.</w:t>
      </w:r>
    </w:p>
    <w:p>
      <w:pPr>
        <w:pStyle w:val="BodyText"/>
      </w:pPr>
      <w:r>
        <w:t xml:space="preserve">By signing below, the client accepts this Quotation Estimate and authorises the Lawyer to commence the legal services described. This agreement is governed by the laws of the Netherlands, and any disputes arising from this engagement shall be subject to the exclusive jurisdiction of the courts of Amsterdam, Netherlands.</w:t>
      </w:r>
    </w:p>
    <w:bookmarkEnd w:id="26"/>
    <w:bookmarkEnd w:id="27"/>
    <w:bookmarkStart w:id="28" w:name="acceptance-and-signatures"/>
    <w:p>
      <w:pPr>
        <w:pStyle w:val="Heading2"/>
      </w:pPr>
      <w:r>
        <w:t xml:space="preserve">5. Acceptance and Signatures</w:t>
      </w:r>
    </w:p>
    <w:p>
      <w:pPr>
        <w:pStyle w:val="FirstParagraph"/>
      </w:pPr>
      <w:r>
        <w:t xml:space="preserve">By signing this Quotation Estimate, both parties confirm their agreement to the terms, conditions, and fee structure outlined in this document for the provision of legal services in Amsterdam, Netherlands.</w:t>
      </w:r>
    </w:p>
    <w:p>
      <w:pPr>
        <w:pStyle w:val="BodyText"/>
      </w:pPr>
      <w:r>
        <w:rPr>
          <w:bCs/>
          <w:b/>
        </w:rPr>
        <w:t xml:space="preserve">For and on behalf of the Law Firm:</w:t>
      </w:r>
    </w:p>
    <w:p>
      <w:pPr>
        <w:pStyle w:val="BodyText"/>
      </w:pPr>
      <w:r>
        <w:t xml:space="preserve">Van der Berg &amp; Partners Advocaten</w:t>
      </w:r>
    </w:p>
    <w:p>
      <w:pPr>
        <w:pStyle w:val="BodyText"/>
      </w:pPr>
      <w:r>
        <w:t xml:space="preserve">Mr. S. van der Berg, Advocate</w:t>
      </w:r>
      <w:r>
        <w:br/>
      </w:r>
      <w:r>
        <w:t xml:space="preserve">Date: 14 June 2025</w:t>
      </w:r>
    </w:p>
    <w:p>
      <w:pPr>
        <w:pStyle w:val="BodyText"/>
      </w:pPr>
      <w:r>
        <w:rPr>
          <w:bCs/>
          <w:b/>
        </w:rPr>
        <w:t xml:space="preserve">Client Acknowledgement and Acceptance:</w:t>
      </w:r>
    </w:p>
    <w:p>
      <w:pPr>
        <w:pStyle w:val="BodyText"/>
      </w:pPr>
      <w:r>
        <w:t xml:space="preserve">I, the undersigned, accept this Quotation Estimate.</w:t>
      </w:r>
    </w:p>
    <w:p>
      <w:pPr>
        <w:pStyle w:val="BodyText"/>
      </w:pPr>
      <w:r>
        <w:t xml:space="preserve">Mr. J. A. de Vries</w:t>
      </w:r>
      <w:r>
        <w:br/>
      </w:r>
      <w:r>
        <w:t xml:space="preserve">Date: ______________________</w:t>
      </w:r>
    </w:p>
    <w:p>
      <w:pPr>
        <w:pStyle w:val="BodyText"/>
      </w:pPr>
      <w:r>
        <w:t xml:space="preserve">Van der Berg &amp; Partners Advocaten — Herengracht 412, 1017 BX Amsterdam, The Netherlands</w:t>
      </w:r>
    </w:p>
    <w:p>
      <w:pPr>
        <w:pStyle w:val="BodyText"/>
      </w:pPr>
      <w:r>
        <w:t xml:space="preserve">Registered with the Bar of Amsterdam (Orde van Advocaten) | KvK 67890123 | BTW NL861234567B01</w:t>
      </w:r>
    </w:p>
    <w:p>
      <w:pPr>
        <w:pStyle w:val="BodyText"/>
      </w:pPr>
      <w:r>
        <w:t xml:space="preserve">This Quotation Estimate is valid for 30 days from the date of issue. Please retain a copy for your records.</w:t>
      </w:r>
    </w:p>
    <w:p>
      <w:pPr>
        <w:pStyle w:val="BodyText"/>
      </w:pPr>
      <w:r>
        <w:t xml:space="preserve">Page 1 of 1 — Document QE-AMS-2025-0472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Amsterdam, Netherlands</dc:title>
  <dc:creator/>
  <dc:language>en</dc:language>
  <cp:keywords/>
  <dcterms:created xsi:type="dcterms:W3CDTF">2026-10-10T06:48:51Z</dcterms:created>
  <dcterms:modified xsi:type="dcterms:W3CDTF">2026-10-10T06:48:51Z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