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al-rashid-partners-legal-consultancy"/>
    <w:p>
      <w:pPr>
        <w:pStyle w:val="Heading1"/>
      </w:pPr>
      <w:r>
        <w:t xml:space="preserve">Al-Rashid &amp; Partners Legal Consultancy</w:t>
      </w:r>
    </w:p>
    <w:p>
      <w:pPr>
        <w:pStyle w:val="FirstParagraph"/>
      </w:pPr>
      <w:r>
        <w:t xml:space="preserve">Office 12, Level 5, Doha Financial Centre, West Bay, Doha, State of Qatar</w:t>
      </w:r>
    </w:p>
    <w:p>
      <w:pPr>
        <w:pStyle w:val="BodyText"/>
      </w:pPr>
      <w:r>
        <w:t xml:space="preserve">Tel: +974 4455 6677  |  Email: legal@alrashidpartners.qa  |  CR No: 1234567</w:t>
      </w:r>
    </w:p>
    <w:p>
      <w:pPr>
        <w:pStyle w:val="BodyText"/>
      </w:pPr>
      <w:r>
        <w:t xml:space="preserve">Licensed by the Ministry of Justice, State of Qatar</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QE-2025-QD-00482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Qatari Riyal (QAR)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Company Name]</w:t>
      </w:r>
    </w:p>
    <w:p>
      <w:pPr>
        <w:pStyle w:val="BodyText"/>
      </w:pPr>
      <w:r>
        <w:rPr>
          <w:bCs/>
          <w:b/>
        </w:rPr>
        <w:t xml:space="preserve">Address:</w:t>
      </w:r>
      <w:r>
        <w:t xml:space="preserve"> </w:t>
      </w:r>
      <w:r>
        <w:t xml:space="preserve">[Client Address], Doha, Qatar</w:t>
      </w:r>
    </w:p>
    <w:p>
      <w:pPr>
        <w:pStyle w:val="BodyText"/>
      </w:pPr>
      <w:r>
        <w:rPr>
          <w:bCs/>
          <w:b/>
        </w:rPr>
        <w:t xml:space="preserve">Contact:</w:t>
      </w:r>
      <w:r>
        <w:t xml:space="preserve"> </w:t>
      </w:r>
      <w:r>
        <w:t xml:space="preserve">[Phone / Email]</w:t>
      </w:r>
    </w:p>
    <w:p>
      <w:pPr>
        <w:pStyle w:val="BodyText"/>
      </w:pPr>
      <w:r>
        <w:rPr>
          <w:bCs/>
          <w:b/>
        </w:rPr>
        <w:t xml:space="preserve">Reference:</w:t>
      </w:r>
      <w:r>
        <w:t xml:space="preserve"> </w:t>
      </w:r>
      <w:r>
        <w:t xml:space="preserve">[Matter Reference No.]</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Al-Rashid &amp; Partners Legal Consultancy, a duly registered and licensed law firm operating in</w:t>
      </w:r>
      <w:r>
        <w:t xml:space="preserve"> </w:t>
      </w:r>
      <w:r>
        <w:t xml:space="preserve">Qatar Doha</w:t>
      </w:r>
      <w:r>
        <w:t xml:space="preserve">, to provide the Client with a comprehensive and transparent breakdown of professional legal fees, disbursements, and associated costs for the engagement of a</w:t>
      </w:r>
      <w:r>
        <w:t xml:space="preserve"> </w:t>
      </w:r>
      <w:r>
        <w:t xml:space="preserve">Lawyer</w:t>
      </w:r>
      <w:r>
        <w:t xml:space="preserve"> </w:t>
      </w:r>
      <w:r>
        <w:t xml:space="preserve">to represent and advise the Client in the matter described herein. This document serves as a formal estimate of the total anticipated expenditure and does not constitute a binding contract until countersigned and accepted by both parties in accordance with the terms set forth below.</w:t>
      </w:r>
    </w:p>
    <w:p>
      <w:pPr>
        <w:pStyle w:val="BodyText"/>
      </w:pPr>
      <w:r>
        <w:t xml:space="preserve">The</w:t>
      </w:r>
      <w:r>
        <w:t xml:space="preserve"> </w:t>
      </w:r>
      <w:r>
        <w:t xml:space="preserve">Lawyer</w:t>
      </w:r>
      <w:r>
        <w:t xml:space="preserve"> </w:t>
      </w:r>
      <w:r>
        <w:t xml:space="preserve">assigned to this matter will be a qualified advocate admitted to practice before the courts of the State of Qatar, with a minimum of ten (10) years of experience in the relevant area of law. All services will be rendered in compliance with the laws and regulations of the State of Qatar, including but not limited to the Qatar Civil Code, the Qatar Commercial Code, and applicable regulations issued by the Ministry of Justice and the Qatar Financial Centre (QFC) Authority where applicable.</w:t>
      </w:r>
    </w:p>
    <w:bookmarkEnd w:id="23"/>
    <w:bookmarkStart w:id="24" w:name="description-of-legal-services"/>
    <w:p>
      <w:pPr>
        <w:pStyle w:val="Heading2"/>
      </w:pPr>
      <w:r>
        <w:t xml:space="preserve">2. Description of Legal Services</w:t>
      </w:r>
    </w:p>
    <w:p>
      <w:pPr>
        <w:pStyle w:val="FirstParagraph"/>
      </w:pPr>
      <w:r>
        <w:t xml:space="preserve">The</w:t>
      </w:r>
      <w:r>
        <w:t xml:space="preserve"> </w:t>
      </w:r>
      <w:r>
        <w:t xml:space="preserve">Lawyer</w:t>
      </w:r>
      <w:r>
        <w:t xml:space="preserve"> </w:t>
      </w:r>
      <w:r>
        <w:t xml:space="preserve">engaged under this</w:t>
      </w:r>
      <w:r>
        <w:t xml:space="preserve"> </w:t>
      </w:r>
      <w:r>
        <w:t xml:space="preserve">Quotation Estimate</w:t>
      </w:r>
      <w:r>
        <w:t xml:space="preserve"> </w:t>
      </w:r>
      <w:r>
        <w:t xml:space="preserve">shall perform the following professional services on behalf of the Client in</w:t>
      </w:r>
      <w:r>
        <w:t xml:space="preserve"> </w:t>
      </w:r>
      <w:r>
        <w:t xml:space="preserve">Qatar Doha</w:t>
      </w:r>
      <w:r>
        <w:t xml:space="preserve">:</w:t>
      </w:r>
    </w:p>
    <w:p>
      <w:pPr>
        <w:numPr>
          <w:ilvl w:val="0"/>
          <w:numId w:val="1001"/>
        </w:numPr>
        <w:pStyle w:val="Compact"/>
      </w:pPr>
      <w:r>
        <w:t xml:space="preserve">Comprehensive legal consultation and advisory sessions regarding the Client's commercial dispute with a third-party contractor in the construction sector.</w:t>
      </w:r>
    </w:p>
    <w:p>
      <w:pPr>
        <w:numPr>
          <w:ilvl w:val="0"/>
          <w:numId w:val="1001"/>
        </w:numPr>
        <w:pStyle w:val="Compact"/>
      </w:pPr>
      <w:r>
        <w:t xml:space="preserve">Preparation, review, and filing of all necessary legal pleadings, statements of claim, and supporting documentation before the competent courts in Doha.</w:t>
      </w:r>
    </w:p>
    <w:p>
      <w:pPr>
        <w:numPr>
          <w:ilvl w:val="0"/>
          <w:numId w:val="1001"/>
        </w:numPr>
        <w:pStyle w:val="Compact"/>
      </w:pPr>
      <w:r>
        <w:t xml:space="preserve">Representation of the Client at all hearings, pre-trial conferences, and mediation sessions before the Qatar courts or the Qatar International Arbitration Centre (QIAC), as may be required.</w:t>
      </w:r>
    </w:p>
    <w:p>
      <w:pPr>
        <w:numPr>
          <w:ilvl w:val="0"/>
          <w:numId w:val="1001"/>
        </w:numPr>
        <w:pStyle w:val="Compact"/>
      </w:pPr>
      <w:r>
        <w:t xml:space="preserve">Negotiation of settlement terms and drafting of any settlement agreement or consent judgment.</w:t>
      </w:r>
    </w:p>
    <w:p>
      <w:pPr>
        <w:numPr>
          <w:ilvl w:val="0"/>
          <w:numId w:val="1001"/>
        </w:numPr>
        <w:pStyle w:val="Compact"/>
      </w:pPr>
      <w:r>
        <w:t xml:space="preserve">Coordination with expert witnesses, forensic accountants, and technical consultants as needed for the proceedings.</w:t>
      </w:r>
    </w:p>
    <w:p>
      <w:pPr>
        <w:numPr>
          <w:ilvl w:val="0"/>
          <w:numId w:val="1001"/>
        </w:numPr>
        <w:pStyle w:val="Compact"/>
      </w:pPr>
      <w:r>
        <w:t xml:space="preserve">Post-judgment enforcement actions, including execution proceedings before the Enforcement Court in Doha.</w:t>
      </w:r>
    </w:p>
    <w:p>
      <w:pPr>
        <w:numPr>
          <w:ilvl w:val="0"/>
          <w:numId w:val="1001"/>
        </w:numPr>
        <w:pStyle w:val="Compact"/>
      </w:pPr>
      <w:r>
        <w:t xml:space="preserve">General legal correspondence, document translation (Arabic-English), and notarization services required for the matter.</w:t>
      </w:r>
    </w:p>
    <w:bookmarkEnd w:id="24"/>
    <w:bookmarkStart w:id="25"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outlines the anticipated fees and costs for the engagement of the</w:t>
      </w:r>
      <w:r>
        <w:t xml:space="preserve"> </w:t>
      </w:r>
      <w:r>
        <w:t xml:space="preserve">Lawyer</w:t>
      </w:r>
      <w:r>
        <w:t xml:space="preserve"> </w:t>
      </w:r>
      <w:r>
        <w:t xml:space="preserve">and the firm's support team in</w:t>
      </w:r>
      <w:r>
        <w:t xml:space="preserve"> </w:t>
      </w:r>
      <w:r>
        <w:t xml:space="preserve">Qatar Doha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Rate / Basis</w:t>
            </w:r>
          </w:p>
        </w:tc>
        <w:tc>
          <w:tcPr/>
          <w:p>
            <w:pPr>
              <w:pStyle w:val="Compact"/>
              <w:jc w:val="left"/>
            </w:pPr>
            <w:r>
              <w:t xml:space="preserve">Estimated Amount (QAR)</w:t>
            </w:r>
          </w:p>
        </w:tc>
      </w:tr>
      <w:tr>
        <w:tc>
          <w:tcPr/>
          <w:p>
            <w:pPr>
              <w:pStyle w:val="Compact"/>
              <w:jc w:val="left"/>
            </w:pPr>
            <w:r>
              <w:t xml:space="preserve">1</w:t>
            </w:r>
          </w:p>
        </w:tc>
        <w:tc>
          <w:tcPr/>
          <w:p>
            <w:pPr>
              <w:pStyle w:val="Compact"/>
              <w:jc w:val="left"/>
            </w:pPr>
            <w:r>
              <w:t xml:space="preserve">Initial legal consultation and case assessment (up to 4 hours)</w:t>
            </w:r>
          </w:p>
        </w:tc>
        <w:tc>
          <w:tcPr/>
          <w:p>
            <w:pPr>
              <w:pStyle w:val="Compact"/>
              <w:jc w:val="left"/>
            </w:pPr>
            <w:r>
              <w:t xml:space="preserve">Fixed fee</w:t>
            </w:r>
          </w:p>
        </w:tc>
        <w:tc>
          <w:tcPr/>
          <w:p>
            <w:pPr>
              <w:pStyle w:val="Compact"/>
              <w:jc w:val="left"/>
            </w:pPr>
            <w:r>
              <w:t xml:space="preserve">4,500</w:t>
            </w:r>
          </w:p>
        </w:tc>
      </w:tr>
      <w:tr>
        <w:tc>
          <w:tcPr/>
          <w:p>
            <w:pPr>
              <w:pStyle w:val="Compact"/>
              <w:jc w:val="left"/>
            </w:pPr>
            <w:r>
              <w:t xml:space="preserve">2</w:t>
            </w:r>
          </w:p>
        </w:tc>
        <w:tc>
          <w:tcPr/>
          <w:p>
            <w:pPr>
              <w:pStyle w:val="Compact"/>
              <w:jc w:val="left"/>
            </w:pPr>
            <w:r>
              <w:t xml:space="preserve">Preparation and filing of Statement of Claim and supporting documents</w:t>
            </w:r>
          </w:p>
        </w:tc>
        <w:tc>
          <w:tcPr/>
          <w:p>
            <w:pPr>
              <w:pStyle w:val="Compact"/>
              <w:jc w:val="left"/>
            </w:pPr>
            <w:r>
              <w:t xml:space="preserve">Fixed fee</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Court representation (estimated 6 hearing days)</w:t>
            </w:r>
          </w:p>
        </w:tc>
        <w:tc>
          <w:tcPr/>
          <w:p>
            <w:pPr>
              <w:pStyle w:val="Compact"/>
              <w:jc w:val="left"/>
            </w:pPr>
            <w:r>
              <w:t xml:space="preserve">QAR 3,500 per day</w:t>
            </w:r>
          </w:p>
        </w:tc>
        <w:tc>
          <w:tcPr/>
          <w:p>
            <w:pPr>
              <w:pStyle w:val="Compact"/>
              <w:jc w:val="left"/>
            </w:pPr>
            <w:r>
              <w:t xml:space="preserve">21,000</w:t>
            </w:r>
          </w:p>
        </w:tc>
      </w:tr>
      <w:tr>
        <w:tc>
          <w:tcPr/>
          <w:p>
            <w:pPr>
              <w:pStyle w:val="Compact"/>
              <w:jc w:val="left"/>
            </w:pPr>
            <w:r>
              <w:t xml:space="preserve">4</w:t>
            </w:r>
          </w:p>
        </w:tc>
        <w:tc>
          <w:tcPr/>
          <w:p>
            <w:pPr>
              <w:pStyle w:val="Compact"/>
              <w:jc w:val="left"/>
            </w:pPr>
            <w:r>
              <w:t xml:space="preserve">Legal research, drafting of memoranda, and written submissions</w:t>
            </w:r>
          </w:p>
        </w:tc>
        <w:tc>
          <w:tcPr/>
          <w:p>
            <w:pPr>
              <w:pStyle w:val="Compact"/>
              <w:jc w:val="left"/>
            </w:pPr>
            <w:r>
              <w:t xml:space="preserve">QAR 850 per hour (est. 20 hrs)</w:t>
            </w:r>
          </w:p>
        </w:tc>
        <w:tc>
          <w:tcPr/>
          <w:p>
            <w:pPr>
              <w:pStyle w:val="Compact"/>
              <w:jc w:val="left"/>
            </w:pPr>
            <w:r>
              <w:t xml:space="preserve">17,000</w:t>
            </w:r>
          </w:p>
        </w:tc>
      </w:tr>
      <w:tr>
        <w:tc>
          <w:tcPr/>
          <w:p>
            <w:pPr>
              <w:pStyle w:val="Compact"/>
              <w:jc w:val="left"/>
            </w:pPr>
            <w:r>
              <w:t xml:space="preserve">5</w:t>
            </w:r>
          </w:p>
        </w:tc>
        <w:tc>
          <w:tcPr/>
          <w:p>
            <w:pPr>
              <w:pStyle w:val="Compact"/>
              <w:jc w:val="left"/>
            </w:pPr>
            <w:r>
              <w:t xml:space="preserve">Mediation / settlement negotiation (up to 3 sessions)</w:t>
            </w:r>
          </w:p>
        </w:tc>
        <w:tc>
          <w:tcPr/>
          <w:p>
            <w:pPr>
              <w:pStyle w:val="Compact"/>
              <w:jc w:val="left"/>
            </w:pPr>
            <w:r>
              <w:t xml:space="preserve">QAR 2,500 per session</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Expert witness coordination and report review</w:t>
            </w:r>
          </w:p>
        </w:tc>
        <w:tc>
          <w:tcPr/>
          <w:p>
            <w:pPr>
              <w:pStyle w:val="Compact"/>
              <w:jc w:val="left"/>
            </w:pPr>
            <w:r>
              <w:t xml:space="preserve">Fixed fee</w:t>
            </w:r>
          </w:p>
        </w:tc>
        <w:tc>
          <w:tcPr/>
          <w:p>
            <w:pPr>
              <w:pStyle w:val="Compact"/>
              <w:jc w:val="left"/>
            </w:pPr>
            <w:r>
              <w:t xml:space="preserve">8,000</w:t>
            </w:r>
          </w:p>
        </w:tc>
      </w:tr>
      <w:tr>
        <w:tc>
          <w:tcPr/>
          <w:p>
            <w:pPr>
              <w:pStyle w:val="Compact"/>
              <w:jc w:val="left"/>
            </w:pPr>
            <w:r>
              <w:t xml:space="preserve">7</w:t>
            </w:r>
          </w:p>
        </w:tc>
        <w:tc>
          <w:tcPr/>
          <w:p>
            <w:pPr>
              <w:pStyle w:val="Compact"/>
              <w:jc w:val="left"/>
            </w:pPr>
            <w:r>
              <w:t xml:space="preserve">Post-judgment enforcement proceedings</w:t>
            </w:r>
          </w:p>
        </w:tc>
        <w:tc>
          <w:tcPr/>
          <w:p>
            <w:pPr>
              <w:pStyle w:val="Compact"/>
              <w:jc w:val="left"/>
            </w:pPr>
            <w:r>
              <w:t xml:space="preserve">Fixed fee</w:t>
            </w:r>
          </w:p>
        </w:tc>
        <w:tc>
          <w:tcPr/>
          <w:p>
            <w:pPr>
              <w:pStyle w:val="Compact"/>
              <w:jc w:val="left"/>
            </w:pPr>
            <w:r>
              <w:t xml:space="preserve">10,000</w:t>
            </w:r>
          </w:p>
        </w:tc>
      </w:tr>
      <w:tr>
        <w:tc>
          <w:tcPr/>
          <w:p>
            <w:pPr>
              <w:pStyle w:val="Compact"/>
              <w:jc w:val="left"/>
            </w:pPr>
            <w:r>
              <w:t xml:space="preserve">8</w:t>
            </w:r>
          </w:p>
        </w:tc>
        <w:tc>
          <w:tcPr/>
          <w:p>
            <w:pPr>
              <w:pStyle w:val="Compact"/>
              <w:jc w:val="left"/>
            </w:pPr>
            <w:r>
              <w:t xml:space="preserve">Court filing fees, stamp duties, and official charges</w:t>
            </w:r>
          </w:p>
        </w:tc>
        <w:tc>
          <w:tcPr/>
          <w:p>
            <w:pPr>
              <w:pStyle w:val="Compact"/>
              <w:jc w:val="left"/>
            </w:pPr>
            <w:r>
              <w:t xml:space="preserve">At actual cost</w:t>
            </w:r>
          </w:p>
        </w:tc>
        <w:tc>
          <w:tcPr/>
          <w:p>
            <w:pPr>
              <w:pStyle w:val="Compact"/>
              <w:jc w:val="left"/>
            </w:pPr>
            <w:r>
              <w:t xml:space="preserve">5,000</w:t>
            </w:r>
          </w:p>
        </w:tc>
      </w:tr>
      <w:tr>
        <w:tc>
          <w:tcPr/>
          <w:p>
            <w:pPr>
              <w:pStyle w:val="Compact"/>
              <w:jc w:val="left"/>
            </w:pPr>
            <w:r>
              <w:t xml:space="preserve">9</w:t>
            </w:r>
          </w:p>
        </w:tc>
        <w:tc>
          <w:tcPr/>
          <w:p>
            <w:pPr>
              <w:pStyle w:val="Compact"/>
              <w:jc w:val="left"/>
            </w:pPr>
            <w:r>
              <w:t xml:space="preserve">Document translation (Arabic/English) and notarization</w:t>
            </w:r>
          </w:p>
        </w:tc>
        <w:tc>
          <w:tcPr/>
          <w:p>
            <w:pPr>
              <w:pStyle w:val="Compact"/>
              <w:jc w:val="left"/>
            </w:pPr>
            <w:r>
              <w:t xml:space="preserve">At actual cost</w:t>
            </w:r>
          </w:p>
        </w:tc>
        <w:tc>
          <w:tcPr/>
          <w:p>
            <w:pPr>
              <w:pStyle w:val="Compact"/>
              <w:jc w:val="left"/>
            </w:pPr>
            <w:r>
              <w:t xml:space="preserve">3,000</w:t>
            </w:r>
          </w:p>
        </w:tc>
      </w:tr>
      <w:tr>
        <w:tc>
          <w:tcPr/>
          <w:p>
            <w:pPr>
              <w:pStyle w:val="Compact"/>
              <w:jc w:val="left"/>
            </w:pPr>
            <w:r>
              <w:t xml:space="preserve">10</w:t>
            </w:r>
          </w:p>
        </w:tc>
        <w:tc>
          <w:tcPr/>
          <w:p>
            <w:pPr>
              <w:pStyle w:val="Compact"/>
              <w:jc w:val="left"/>
            </w:pPr>
            <w:r>
              <w:t xml:space="preserve">Local travel, courier, and administrative expenses in Doha</w:t>
            </w:r>
          </w:p>
        </w:tc>
        <w:tc>
          <w:tcPr/>
          <w:p>
            <w:pPr>
              <w:pStyle w:val="Compact"/>
              <w:jc w:val="left"/>
            </w:pPr>
            <w:r>
              <w:t xml:space="preserve">At actual cost</w:t>
            </w:r>
          </w:p>
        </w:tc>
        <w:tc>
          <w:tcPr/>
          <w:p>
            <w:pPr>
              <w:pStyle w:val="Compact"/>
              <w:jc w:val="left"/>
            </w:pPr>
            <w:r>
              <w:t xml:space="preserve">2,000</w:t>
            </w:r>
          </w:p>
        </w:tc>
      </w:tr>
      <w:tr>
        <w:tc>
          <w:tcPr>
            <w:gridSpan w:val="3"/>
          </w:tcPr>
          <w:p>
            <w:pPr>
              <w:pStyle w:val="Compact"/>
              <w:jc w:val="left"/>
            </w:pPr>
            <w:r>
              <w:t xml:space="preserve">Total Estimated Quotation (QAR)</w:t>
            </w:r>
          </w:p>
        </w:tc>
        <w:tc>
          <w:tcPr/>
          <w:p>
            <w:pPr>
              <w:pStyle w:val="Compact"/>
              <w:jc w:val="left"/>
            </w:pPr>
            <w:r>
              <w:t xml:space="preserve">90,000</w:t>
            </w:r>
          </w:p>
        </w:tc>
      </w:tr>
      <w:tr>
        <w:tc>
          <w:tcPr>
            <w:gridSpan w:val="3"/>
          </w:tcPr>
          <w:p>
            <w:pPr>
              <w:pStyle w:val="Compact"/>
              <w:jc w:val="left"/>
            </w:pPr>
            <w:r>
              <w:t xml:space="preserve">VAT (5% – if applicable under Qatar VAT Law)</w:t>
            </w:r>
          </w:p>
        </w:tc>
        <w:tc>
          <w:tcPr/>
          <w:p>
            <w:pPr>
              <w:pStyle w:val="Compact"/>
              <w:jc w:val="left"/>
            </w:pPr>
            <w:r>
              <w:t xml:space="preserve">4,500</w:t>
            </w:r>
          </w:p>
        </w:tc>
      </w:tr>
      <w:tr>
        <w:tc>
          <w:tcPr>
            <w:gridSpan w:val="3"/>
          </w:tcPr>
          <w:p>
            <w:pPr>
              <w:pStyle w:val="Compact"/>
              <w:jc w:val="left"/>
            </w:pPr>
            <w:r>
              <w:t xml:space="preserve">Grand Total (QAR)</w:t>
            </w:r>
          </w:p>
        </w:tc>
        <w:tc>
          <w:tcPr/>
          <w:p>
            <w:pPr>
              <w:pStyle w:val="Compact"/>
              <w:jc w:val="left"/>
            </w:pPr>
            <w:r>
              <w:t xml:space="preserve">94,500</w:t>
            </w:r>
          </w:p>
        </w:tc>
      </w:tr>
    </w:tbl>
    <w:p>
      <w:pPr>
        <w:pStyle w:val="BodyText"/>
      </w:pPr>
      <w:r>
        <w:rPr>
          <w:iCs/>
          <w:i/>
        </w:rPr>
        <w:t xml:space="preserve">Note: The above</w:t>
      </w:r>
      <w:r>
        <w:rPr>
          <w:iCs/>
          <w:i/>
        </w:rPr>
        <w:t xml:space="preserve"> </w:t>
      </w:r>
      <w:r>
        <w:rPr>
          <w:iCs/>
          <w:i/>
        </w:rPr>
        <w:t xml:space="preserve">Quotation Estimate</w:t>
      </w:r>
      <w:r>
        <w:rPr>
          <w:iCs/>
          <w:i/>
        </w:rPr>
        <w:t xml:space="preserve"> </w:t>
      </w:r>
      <w:r>
        <w:rPr>
          <w:iCs/>
          <w:i/>
        </w:rPr>
        <w:t xml:space="preserve">is based on the current scope of work. Should the matter expand in complexity, require additional court appearances, or involve appellate proceedings, the</w:t>
      </w:r>
      <w:r>
        <w:rPr>
          <w:iCs/>
          <w:i/>
        </w:rPr>
        <w:t xml:space="preserve"> </w:t>
      </w:r>
      <w:r>
        <w:rPr>
          <w:iCs/>
          <w:i/>
        </w:rPr>
        <w:t xml:space="preserve">Lawyer</w:t>
      </w:r>
      <w:r>
        <w:rPr>
          <w:iCs/>
          <w:i/>
        </w:rPr>
        <w:t xml:space="preserve"> </w:t>
      </w:r>
      <w:r>
        <w:rPr>
          <w:iCs/>
          <w:i/>
        </w:rPr>
        <w:t xml:space="preserve">will issue a supplementary estimate prior to incurring any additional costs. All fees are exclusive of out-of-pocket expenses unless expressly stated.</w:t>
      </w:r>
    </w:p>
    <w:bookmarkEnd w:id="25"/>
    <w:bookmarkStart w:id="26" w:name="payment-terms"/>
    <w:p>
      <w:pPr>
        <w:pStyle w:val="Heading2"/>
      </w:pPr>
      <w:r>
        <w:t xml:space="preserve">4. Payment Terms</w:t>
      </w:r>
    </w:p>
    <w:p>
      <w:pPr>
        <w:numPr>
          <w:ilvl w:val="0"/>
          <w:numId w:val="1002"/>
        </w:numPr>
        <w:pStyle w:val="Compact"/>
      </w:pPr>
      <w:r>
        <w:t xml:space="preserve">A non-refundable retainer of 30% of the total estimated fee (QAR 27,000) shall be payable upon acceptance of this</w:t>
      </w:r>
      <w:r>
        <w:t xml:space="preserve"> </w:t>
      </w:r>
      <w:r>
        <w:t xml:space="preserve">Quotation Estimate</w:t>
      </w:r>
      <w:r>
        <w:t xml:space="preserve"> </w:t>
      </w:r>
      <w:r>
        <w:t xml:space="preserve">and execution of the engagement letter.</w:t>
      </w:r>
    </w:p>
    <w:p>
      <w:pPr>
        <w:numPr>
          <w:ilvl w:val="0"/>
          <w:numId w:val="1002"/>
        </w:numPr>
        <w:pStyle w:val="Compact"/>
      </w:pPr>
      <w:r>
        <w:t xml:space="preserve">The remaining 70% shall be payable in two equal installments: 50% upon filing of the Statement of Claim and 50% upon conclusion of the final hearing or settlement.</w:t>
      </w:r>
    </w:p>
    <w:p>
      <w:pPr>
        <w:numPr>
          <w:ilvl w:val="0"/>
          <w:numId w:val="1002"/>
        </w:numPr>
        <w:pStyle w:val="Compact"/>
      </w:pPr>
      <w:r>
        <w:t xml:space="preserve">All payments shall be made via bank transfer to the firm's designated account in Doha, Qatar. Invoices will be issued in Qatari Riyal (QAR).</w:t>
      </w:r>
    </w:p>
    <w:p>
      <w:pPr>
        <w:numPr>
          <w:ilvl w:val="0"/>
          <w:numId w:val="1002"/>
        </w:numPr>
        <w:pStyle w:val="Compact"/>
      </w:pPr>
      <w:r>
        <w:t xml:space="preserve">Out-of-pocket expenses (court fees, translation, travel) shall be reimbursed upon submission of official receipts within fourteen (14) days of the invoice date.</w:t>
      </w:r>
    </w:p>
    <w:p>
      <w:pPr>
        <w:numPr>
          <w:ilvl w:val="0"/>
          <w:numId w:val="1002"/>
        </w:numPr>
        <w:pStyle w:val="Compact"/>
      </w:pPr>
      <w:r>
        <w:t xml:space="preserve">Late payments shall attract interest at the rate of 2% per month, in accordance with applicable Qatar commercial law.</w:t>
      </w:r>
    </w:p>
    <w:bookmarkEnd w:id="26"/>
    <w:bookmarkStart w:id="27"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Upon expiry, the</w:t>
      </w:r>
      <w:r>
        <w:t xml:space="preserve"> </w:t>
      </w:r>
      <w:r>
        <w:t xml:space="preserve">Lawyer</w:t>
      </w:r>
      <w:r>
        <w:t xml:space="preserve"> </w:t>
      </w:r>
      <w:r>
        <w:t xml:space="preserve">reserves the right to revise fees based on prevailing market rates in</w:t>
      </w:r>
      <w:r>
        <w:t xml:space="preserve"> </w:t>
      </w:r>
      <w:r>
        <w:t xml:space="preserve">Qatar Doha</w:t>
      </w:r>
      <w:r>
        <w:t xml:space="preserve">.</w:t>
      </w:r>
    </w:p>
    <w:p>
      <w:pPr>
        <w:numPr>
          <w:ilvl w:val="0"/>
          <w:numId w:val="1003"/>
        </w:numPr>
        <w:pStyle w:val="Compact"/>
      </w:pPr>
      <w:r>
        <w:t xml:space="preserve">The</w:t>
      </w:r>
      <w:r>
        <w:t xml:space="preserve"> </w:t>
      </w:r>
      <w:r>
        <w:t xml:space="preserve">Lawyer</w:t>
      </w:r>
      <w:r>
        <w:t xml:space="preserve"> </w:t>
      </w:r>
      <w:r>
        <w:t xml:space="preserve">and the firm shall maintain strict confidentiality regarding all information, documents, and strategies disclosed by the Client, in accordance with the Qatar Legal Profession Law and professional ethical standards.</w:t>
      </w:r>
    </w:p>
    <w:p>
      <w:pPr>
        <w:numPr>
          <w:ilvl w:val="0"/>
          <w:numId w:val="1003"/>
        </w:numPr>
        <w:pStyle w:val="Compact"/>
      </w:pPr>
      <w:r>
        <w:t xml:space="preserve">The firm shall not be liable for any adverse court decision, as the outcome of legal proceedings is inherently uncertain and beyond the control of the</w:t>
      </w:r>
      <w:r>
        <w:t xml:space="preserve"> </w:t>
      </w:r>
      <w:r>
        <w:t xml:space="preserve">Lawyer</w:t>
      </w:r>
      <w:r>
        <w:t xml:space="preserve">.</w:t>
      </w:r>
    </w:p>
    <w:p>
      <w:pPr>
        <w:numPr>
          <w:ilvl w:val="0"/>
          <w:numId w:val="1003"/>
        </w:numPr>
        <w:pStyle w:val="Compact"/>
      </w:pPr>
      <w:r>
        <w:t xml:space="preserve">This engagement is governed by the laws of the State of Qatar. Any disputes arising from this</w:t>
      </w:r>
      <w:r>
        <w:t xml:space="preserve"> </w:t>
      </w:r>
      <w:r>
        <w:t xml:space="preserve">Quotation Estimate</w:t>
      </w:r>
      <w:r>
        <w:t xml:space="preserve"> </w:t>
      </w:r>
      <w:r>
        <w:t xml:space="preserve">or the engagement shall be subject to the exclusive jurisdiction of the courts in Doha, Qatar.</w:t>
      </w:r>
    </w:p>
    <w:p>
      <w:pPr>
        <w:numPr>
          <w:ilvl w:val="0"/>
          <w:numId w:val="1003"/>
        </w:numPr>
        <w:pStyle w:val="Compact"/>
      </w:pPr>
      <w:r>
        <w:t xml:space="preserve">The Client agrees to provide all necessary documents, information, and cooperation in a timely manner. Delays caused by the Client may result in additional costs, which will be communicated in writing.</w:t>
      </w:r>
    </w:p>
    <w:p>
      <w:pPr>
        <w:numPr>
          <w:ilvl w:val="0"/>
          <w:numId w:val="1003"/>
        </w:numPr>
        <w:pStyle w:val="Compact"/>
      </w:pPr>
      <w:r>
        <w:t xml:space="preserve">This</w:t>
      </w:r>
      <w:r>
        <w:t xml:space="preserve"> </w:t>
      </w:r>
      <w:r>
        <w:t xml:space="preserve">Quotation Estimate</w:t>
      </w:r>
      <w:r>
        <w:t xml:space="preserve"> </w:t>
      </w:r>
      <w:r>
        <w:t xml:space="preserve">does not create an attorney-client relationship until a formal engagement letter is signed by both parties.</w:t>
      </w:r>
    </w:p>
    <w:bookmarkEnd w:id="27"/>
    <w:bookmarkStart w:id="28"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confirms understanding of the scope of services to be provided by the</w:t>
      </w:r>
      <w:r>
        <w:t xml:space="preserve"> </w:t>
      </w:r>
      <w:r>
        <w:t xml:space="preserve">Lawyer</w:t>
      </w:r>
      <w:r>
        <w:t xml:space="preserve"> </w:t>
      </w:r>
      <w:r>
        <w:t xml:space="preserve">in</w:t>
      </w:r>
      <w:r>
        <w:t xml:space="preserve"> </w:t>
      </w:r>
      <w:r>
        <w:t xml:space="preserve">Qatar Doha</w:t>
      </w:r>
      <w:r>
        <w:t xml:space="preserve">, and authorizes the firm to proceed with the engagement subject to the terms and conditions outlined herein.</w:t>
      </w:r>
    </w:p>
    <w:bookmarkEnd w:id="28"/>
    <w:p>
      <w:pPr>
        <w:pStyle w:val="BodyText"/>
      </w:pPr>
      <w:r>
        <w:rPr>
          <w:bCs/>
          <w:b/>
        </w:rPr>
        <w:t xml:space="preserve">For Al-Rashid &amp; Partners Legal Consultancy</w:t>
      </w:r>
    </w:p>
    <w:p>
      <w:pPr>
        <w:pStyle w:val="BodyText"/>
      </w:pPr>
      <w:r>
        <w:t xml:space="preserve">Authorized Signatory / Lead Lawyer</w:t>
      </w:r>
    </w:p>
    <w:p>
      <w:pPr>
        <w:pStyle w:val="BodyText"/>
      </w:pPr>
      <w:r>
        <w:t xml:space="preserve">Name: ______________________</w:t>
      </w:r>
      <w:r>
        <w:br/>
      </w:r>
      <w:r>
        <w:t xml:space="preserve">Date: ______________________</w:t>
      </w:r>
      <w:r>
        <w:br/>
      </w:r>
      <w:r>
        <w:t xml:space="preserve">Signature &amp; Stamp</w:t>
      </w:r>
    </w:p>
    <w:p>
      <w:pPr>
        <w:pStyle w:val="BodyText"/>
      </w:pPr>
      <w:r>
        <w:rPr>
          <w:bCs/>
          <w:b/>
        </w:rPr>
        <w:t xml:space="preserve">For the Client</w:t>
      </w:r>
    </w:p>
    <w:p>
      <w:pPr>
        <w:pStyle w:val="BodyText"/>
      </w:pPr>
      <w:r>
        <w:t xml:space="preserve">Authorized Representative</w:t>
      </w:r>
    </w:p>
    <w:p>
      <w:pPr>
        <w:pStyle w:val="BodyText"/>
      </w:pPr>
      <w:r>
        <w:t xml:space="preserve">Name: ______________________</w:t>
      </w:r>
      <w:r>
        <w:br/>
      </w:r>
      <w:r>
        <w:t xml:space="preserve">Date: ______________________</w:t>
      </w:r>
      <w:r>
        <w:br/>
      </w:r>
      <w:r>
        <w:t xml:space="preserve">Signature &amp; Stamp</w:t>
      </w:r>
    </w:p>
    <w:p>
      <w:pPr>
        <w:pStyle w:val="BodyText"/>
      </w:pPr>
      <w:r>
        <w:t xml:space="preserve">Al-Rashid &amp; Partners Legal Consultancy — Doha Financial Centre, West Bay, Doha, State of Qatar</w:t>
      </w:r>
    </w:p>
    <w:p>
      <w:pPr>
        <w:pStyle w:val="BodyText"/>
      </w:pPr>
      <w:r>
        <w:t xml:space="preserve">This Quotation Estimate is a confidential document intended solely for the named Client. Unauthorized reproduction or distribution is prohibited.</w:t>
      </w:r>
    </w:p>
    <w:p>
      <w:pPr>
        <w:pStyle w:val="BodyText"/>
      </w:pPr>
      <w:r>
        <w:t xml:space="preserve">Document Ref: QE-2025-QD-00482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Qatar Doha</dc:title>
  <dc:creator/>
  <dc:language>en</dc:language>
  <cp:keywords/>
  <dcterms:created xsi:type="dcterms:W3CDTF">2026-10-10T06:22:01Z</dcterms:created>
  <dcterms:modified xsi:type="dcterms:W3CDTF">2026-10-10T06:22:01Z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