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Legal Services — Lawyer Consultation &amp; Representation</w:t>
      </w:r>
    </w:p>
    <w:bookmarkEnd w:id="20"/>
    <w:bookmarkStart w:id="21" w:name="issued-by-lawyer-firm"/>
    <w:p>
      <w:pPr>
        <w:pStyle w:val="Heading3"/>
      </w:pPr>
      <w:r>
        <w:t xml:space="preserve">Issued By (Lawyer / Firm)</w:t>
      </w:r>
    </w:p>
    <w:p>
      <w:pPr>
        <w:pStyle w:val="FirstParagraph"/>
      </w:pPr>
      <w:r>
        <w:rPr>
          <w:bCs/>
          <w:b/>
        </w:rPr>
        <w:t xml:space="preserve">Al-Rashid Legal Consultancy &amp; Advocacy</w:t>
      </w:r>
    </w:p>
    <w:p>
      <w:pPr>
        <w:pStyle w:val="BodyText"/>
      </w:pPr>
      <w:r>
        <w:t xml:space="preserve">Office 12, King Fahd Road, Al-Salam District</w:t>
      </w:r>
    </w:p>
    <w:p>
      <w:pPr>
        <w:pStyle w:val="BodyText"/>
      </w:pPr>
      <w:r>
        <w:t xml:space="preserve">Saudi Arabia Jeddah, 23412</w:t>
      </w:r>
    </w:p>
    <w:p>
      <w:pPr>
        <w:pStyle w:val="BodyText"/>
      </w:pPr>
      <w:r>
        <w:t xml:space="preserve">CR No: 1010456789</w:t>
      </w:r>
    </w:p>
    <w:p>
      <w:pPr>
        <w:pStyle w:val="BodyText"/>
      </w:pPr>
      <w:r>
        <w:t xml:space="preserve">Phone: +966 12 654 3210</w:t>
      </w:r>
    </w:p>
    <w:p>
      <w:pPr>
        <w:pStyle w:val="BodyText"/>
      </w:pPr>
      <w:r>
        <w:t xml:space="preserve">Email: legal@alrashid-law.sa</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_________________________</w:t>
      </w:r>
    </w:p>
    <w:p>
      <w:pPr>
        <w:pStyle w:val="BodyText"/>
      </w:pPr>
      <w:r>
        <w:rPr>
          <w:bCs/>
          <w:b/>
        </w:rPr>
        <w:t xml:space="preserve">Company / Entity:</w:t>
      </w:r>
      <w:r>
        <w:t xml:space="preserve"> </w:t>
      </w:r>
      <w:r>
        <w:t xml:space="preserve">_________________________</w:t>
      </w:r>
    </w:p>
    <w:p>
      <w:pPr>
        <w:pStyle w:val="BodyText"/>
      </w:pPr>
      <w:r>
        <w:rPr>
          <w:bCs/>
          <w:b/>
        </w:rPr>
        <w:t xml:space="preserve">Address:</w:t>
      </w:r>
      <w:r>
        <w:t xml:space="preserve"> </w:t>
      </w:r>
      <w:r>
        <w:t xml:space="preserve">_________________________</w:t>
      </w:r>
    </w:p>
    <w:p>
      <w:pPr>
        <w:pStyle w:val="BodyText"/>
      </w:pPr>
      <w:r>
        <w:rPr>
          <w:bCs/>
          <w:b/>
        </w:rPr>
        <w:t xml:space="preserve">City:</w:t>
      </w:r>
      <w:r>
        <w:t xml:space="preserve"> </w:t>
      </w:r>
      <w:r>
        <w:t xml:space="preserve">Saudi Arabia Jeddah</w:t>
      </w:r>
    </w:p>
    <w:p>
      <w:pPr>
        <w:pStyle w:val="BodyText"/>
      </w:pPr>
      <w:r>
        <w:rPr>
          <w:bCs/>
          <w:b/>
        </w:rPr>
        <w:t xml:space="preserve">Contact No:</w:t>
      </w:r>
      <w:r>
        <w:t xml:space="preserve"> </w:t>
      </w:r>
      <w:r>
        <w:t xml:space="preserve">_________________________</w:t>
      </w:r>
    </w:p>
    <w:p>
      <w:pPr>
        <w:pStyle w:val="BodyText"/>
      </w:pPr>
      <w:r>
        <w:rPr>
          <w:bCs/>
          <w:b/>
        </w:rPr>
        <w:t xml:space="preserve">Email:</w:t>
      </w:r>
      <w:r>
        <w:t xml:space="preserve"> </w:t>
      </w:r>
      <w:r>
        <w:t xml:space="preserve">_________________________</w:t>
      </w:r>
    </w:p>
    <w:bookmarkEnd w:id="22"/>
    <w:p>
      <w:pPr>
        <w:pStyle w:val="BodyText"/>
      </w:pPr>
      <w:r>
        <w:rPr>
          <w:bCs/>
          <w:b/>
        </w:rPr>
        <w:t xml:space="preserve">Quotation Estimate No:</w:t>
      </w:r>
      <w:r>
        <w:t xml:space="preserve"> </w:t>
      </w:r>
      <w:r>
        <w:t xml:space="preserve">QE-2025-JED-0047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Saudi Riyal (SAR)</w:t>
      </w:r>
    </w:p>
    <w:bookmarkStart w:id="23" w:name="scope-of-legal-services"/>
    <w:p>
      <w:pPr>
        <w:pStyle w:val="Heading2"/>
      </w:pPr>
      <w:r>
        <w:t xml:space="preserve">1. Scope of Legal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w:t>
      </w:r>
      <w:r>
        <w:t xml:space="preserve">and legal firm operating in</w:t>
      </w:r>
      <w:r>
        <w:t xml:space="preserve"> </w:t>
      </w:r>
      <w:r>
        <w:t xml:space="preserve">Saudi Arabia Jeddah</w:t>
      </w:r>
      <w:r>
        <w:t xml:space="preserve"> </w:t>
      </w:r>
      <w:r>
        <w:t xml:space="preserve">to provide a comprehensive breakdown of professional legal services requested by the client. The scope of work encompasses the following areas of practice under the laws of the Kingdom of Saudi Arabia:</w:t>
      </w:r>
    </w:p>
    <w:p>
      <w:pPr>
        <w:numPr>
          <w:ilvl w:val="0"/>
          <w:numId w:val="1001"/>
        </w:numPr>
        <w:pStyle w:val="Compact"/>
      </w:pPr>
      <w:r>
        <w:t xml:space="preserve">Legal consultation and advisory services regarding commercial contracts, corporate governance, and regulatory compliance in Saudi Arabia Jeddah.</w:t>
      </w:r>
    </w:p>
    <w:p>
      <w:pPr>
        <w:numPr>
          <w:ilvl w:val="0"/>
          <w:numId w:val="1001"/>
        </w:numPr>
        <w:pStyle w:val="Compact"/>
      </w:pPr>
      <w:r>
        <w:t xml:space="preserve">Drafting, reviewing, and negotiation of commercial agreements, partnership deeds, and employment contracts.</w:t>
      </w:r>
    </w:p>
    <w:p>
      <w:pPr>
        <w:numPr>
          <w:ilvl w:val="0"/>
          <w:numId w:val="1001"/>
        </w:numPr>
        <w:pStyle w:val="Compact"/>
      </w:pPr>
      <w:r>
        <w:t xml:space="preserve">Representation before the Saudi Commercial Courts, Shari'a Courts, and the Board of Grievances (Diwan al-Mazalim) located in the Jeddah jurisdiction.</w:t>
      </w:r>
    </w:p>
    <w:p>
      <w:pPr>
        <w:numPr>
          <w:ilvl w:val="0"/>
          <w:numId w:val="1001"/>
        </w:numPr>
        <w:pStyle w:val="Compact"/>
      </w:pPr>
      <w:r>
        <w:t xml:space="preserve">Intellectual property registration and protection (trademarks, patents, copyrights) through the Saudi Authority for Intellectual Property (SAIP).</w:t>
      </w:r>
    </w:p>
    <w:p>
      <w:pPr>
        <w:numPr>
          <w:ilvl w:val="0"/>
          <w:numId w:val="1001"/>
        </w:numPr>
        <w:pStyle w:val="Compact"/>
      </w:pPr>
      <w:r>
        <w:t xml:space="preserve">Dispute resolution, mediation, and arbitration services in accordance with the Saudi Arbitration Law.</w:t>
      </w:r>
    </w:p>
    <w:p>
      <w:pPr>
        <w:numPr>
          <w:ilvl w:val="0"/>
          <w:numId w:val="1001"/>
        </w:numPr>
        <w:pStyle w:val="Compact"/>
      </w:pPr>
      <w:r>
        <w:t xml:space="preserve">Corporate structuring, company formation, and licensing support with the Ministry of Commerce and the Jeddah Chamber of Commerce.</w:t>
      </w:r>
    </w:p>
    <w:p>
      <w:pPr>
        <w:numPr>
          <w:ilvl w:val="0"/>
          <w:numId w:val="1001"/>
        </w:numPr>
        <w:pStyle w:val="Compact"/>
      </w:pPr>
      <w:r>
        <w:t xml:space="preserve">Immigration and residency (Iqama) legal matters for expatriate employees and business partners.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(SAR)</w:t>
            </w:r>
          </w:p>
        </w:tc>
        <w:tc>
          <w:tcPr/>
          <w:p>
            <w:pPr>
              <w:pStyle w:val="Compact"/>
              <w:jc w:val="left"/>
            </w:pPr>
            <w:r>
              <w:t xml:space="preserve">Hours / Units</w:t>
            </w:r>
          </w:p>
        </w:tc>
        <w:tc>
          <w:tcPr/>
          <w:p>
            <w:pPr>
              <w:pStyle w:val="Compact"/>
              <w:jc w:val="left"/>
            </w:pPr>
            <w:r>
              <w:t xml:space="preserve">Amount (SAR)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legal consultation and case assessment by the assigned Lawyer</w:t>
            </w:r>
          </w:p>
        </w:tc>
        <w:tc>
          <w:tcPr/>
          <w:p>
            <w:pPr>
              <w:pStyle w:val="Compact"/>
              <w:jc w:val="left"/>
            </w:pPr>
            <w:r>
              <w:t xml:space="preserve">1,500</w:t>
            </w:r>
          </w:p>
        </w:tc>
        <w:tc>
          <w:tcPr/>
          <w:p>
            <w:pPr>
              <w:pStyle w:val="Compact"/>
              <w:jc w:val="left"/>
            </w:pPr>
            <w:r>
              <w:t xml:space="preserve">2 hrs</w:t>
            </w:r>
          </w:p>
        </w:tc>
        <w:tc>
          <w:tcPr/>
          <w:p>
            <w:pPr>
              <w:pStyle w:val="Compact"/>
              <w:jc w:val="left"/>
            </w:pPr>
            <w:r>
              <w:t xml:space="preserve">3,000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Drafting and review of commercial contracts (up to 5 documents)</w:t>
            </w:r>
          </w:p>
        </w:tc>
        <w:tc>
          <w:tcPr/>
          <w:p>
            <w:pPr>
              <w:pStyle w:val="Compact"/>
              <w:jc w:val="left"/>
            </w:pPr>
            <w:r>
              <w:t xml:space="preserve">2,500</w:t>
            </w:r>
          </w:p>
        </w:tc>
        <w:tc>
          <w:tcPr/>
          <w:p>
            <w:pPr>
              <w:pStyle w:val="Compact"/>
              <w:jc w:val="left"/>
            </w:pPr>
            <w:r>
              <w:t xml:space="preserve">5 docs</w:t>
            </w:r>
          </w:p>
        </w:tc>
        <w:tc>
          <w:tcPr/>
          <w:p>
            <w:pPr>
              <w:pStyle w:val="Compact"/>
              <w:jc w:val="left"/>
            </w:pPr>
            <w:r>
              <w:t xml:space="preserve">12,500</w:t>
            </w:r>
          </w:p>
        </w:tc>
        <w:tc>
          <w:tcPr/>
          <w:p>
            <w:pPr>
              <w:pStyle w:val="Compact"/>
              <w:jc w:val="left"/>
            </w:pPr>
            <w:r>
              <w:t xml:space="preserve">Per document</w:t>
            </w:r>
          </w:p>
        </w:tc>
      </w:tr>
      <w:tr>
        <w:tc>
          <w:tcPr/>
          <w:p>
            <w:pPr>
              <w:pStyle w:val="Compact"/>
              <w:jc w:val="left"/>
            </w:pPr>
            <w:r>
              <w:t xml:space="preserve">3</w:t>
            </w:r>
          </w:p>
        </w:tc>
        <w:tc>
          <w:tcPr/>
          <w:p>
            <w:pPr>
              <w:pStyle w:val="Compact"/>
              <w:jc w:val="left"/>
            </w:pPr>
            <w:r>
              <w:t xml:space="preserve">Court representation and legal proceedings in Saudi Arabia Jeddah</w:t>
            </w:r>
          </w:p>
        </w:tc>
        <w:tc>
          <w:tcPr/>
          <w:p>
            <w:pPr>
              <w:pStyle w:val="Compact"/>
              <w:jc w:val="left"/>
            </w:pPr>
            <w:r>
              <w:t xml:space="preserve">5,000</w:t>
            </w:r>
          </w:p>
        </w:tc>
        <w:tc>
          <w:tcPr/>
          <w:p>
            <w:pPr>
              <w:pStyle w:val="Compact"/>
              <w:jc w:val="left"/>
            </w:pPr>
            <w:r>
              <w:t xml:space="preserve">4 hearings</w:t>
            </w:r>
          </w:p>
        </w:tc>
        <w:tc>
          <w:tcPr/>
          <w:p>
            <w:pPr>
              <w:pStyle w:val="Compact"/>
              <w:jc w:val="left"/>
            </w:pPr>
            <w:r>
              <w:t xml:space="preserve">20,000</w:t>
            </w:r>
          </w:p>
        </w:tc>
        <w:tc>
          <w:tcPr/>
          <w:p>
            <w:pPr>
              <w:pStyle w:val="Compact"/>
              <w:jc w:val="left"/>
            </w:pPr>
            <w:r>
              <w:t xml:space="preserve">Per hearing</w:t>
            </w:r>
          </w:p>
        </w:tc>
      </w:tr>
      <w:tr>
        <w:tc>
          <w:tcPr/>
          <w:p>
            <w:pPr>
              <w:pStyle w:val="Compact"/>
              <w:jc w:val="left"/>
            </w:pPr>
            <w:r>
              <w:t xml:space="preserve">4</w:t>
            </w:r>
          </w:p>
        </w:tc>
        <w:tc>
          <w:tcPr/>
          <w:p>
            <w:pPr>
              <w:pStyle w:val="Compact"/>
              <w:jc w:val="left"/>
            </w:pPr>
            <w:r>
              <w:t xml:space="preserve">Corporate registration and licensing support (Jeddah Chamber of Commerce)</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w:t>
            </w:r>
          </w:p>
        </w:tc>
        <w:tc>
          <w:tcPr/>
          <w:p>
            <w:pPr>
              <w:pStyle w:val="Compact"/>
              <w:jc w:val="left"/>
            </w:pPr>
            <w:r>
              <w:t xml:space="preserve">Lump sum</w:t>
            </w:r>
          </w:p>
        </w:tc>
      </w:tr>
      <w:tr>
        <w:tc>
          <w:tcPr/>
          <w:p>
            <w:pPr>
              <w:pStyle w:val="Compact"/>
              <w:jc w:val="left"/>
            </w:pPr>
            <w:r>
              <w:t xml:space="preserve">5</w:t>
            </w:r>
          </w:p>
        </w:tc>
        <w:tc>
          <w:tcPr/>
          <w:p>
            <w:pPr>
              <w:pStyle w:val="Compact"/>
              <w:jc w:val="left"/>
            </w:pPr>
            <w:r>
              <w:t xml:space="preserve">Intellectual property filing and registration (SAIP)</w:t>
            </w:r>
          </w:p>
        </w:tc>
        <w:tc>
          <w:tcPr/>
          <w:p>
            <w:pPr>
              <w:pStyle w:val="Compact"/>
              <w:jc w:val="left"/>
            </w:pPr>
            <w:r>
              <w:t xml:space="preserve">3,500</w:t>
            </w:r>
          </w:p>
        </w:tc>
        <w:tc>
          <w:tcPr/>
          <w:p>
            <w:pPr>
              <w:pStyle w:val="Compact"/>
              <w:jc w:val="left"/>
            </w:pPr>
            <w:r>
              <w:t xml:space="preserve">2 filings</w:t>
            </w:r>
          </w:p>
        </w:tc>
        <w:tc>
          <w:tcPr/>
          <w:p>
            <w:pPr>
              <w:pStyle w:val="Compact"/>
              <w:jc w:val="left"/>
            </w:pPr>
            <w:r>
              <w:t xml:space="preserve">7,000</w:t>
            </w:r>
          </w:p>
        </w:tc>
        <w:tc>
          <w:tcPr/>
          <w:p>
            <w:pPr>
              <w:pStyle w:val="Compact"/>
              <w:jc w:val="left"/>
            </w:pPr>
            <w:r>
              <w:t xml:space="preserve">Per filing</w:t>
            </w:r>
          </w:p>
        </w:tc>
      </w:tr>
      <w:tr>
        <w:tc>
          <w:tcPr/>
          <w:p>
            <w:pPr>
              <w:pStyle w:val="Compact"/>
              <w:jc w:val="left"/>
            </w:pPr>
            <w:r>
              <w:t xml:space="preserve">6</w:t>
            </w:r>
          </w:p>
        </w:tc>
        <w:tc>
          <w:tcPr/>
          <w:p>
            <w:pPr>
              <w:pStyle w:val="Compact"/>
              <w:jc w:val="left"/>
            </w:pPr>
            <w:r>
              <w:t xml:space="preserve">Ongoing legal advisory retainer (monthly)</w:t>
            </w:r>
          </w:p>
        </w:tc>
        <w:tc>
          <w:tcPr/>
          <w:p>
            <w:pPr>
              <w:pStyle w:val="Compact"/>
              <w:jc w:val="left"/>
            </w:pPr>
            <w:r>
              <w:t xml:space="preserve">10,000</w:t>
            </w:r>
          </w:p>
        </w:tc>
        <w:tc>
          <w:tcPr/>
          <w:p>
            <w:pPr>
              <w:pStyle w:val="Compact"/>
              <w:jc w:val="left"/>
            </w:pPr>
            <w:r>
              <w:t xml:space="preserve">3 months</w:t>
            </w:r>
          </w:p>
        </w:tc>
        <w:tc>
          <w:tcPr/>
          <w:p>
            <w:pPr>
              <w:pStyle w:val="Compact"/>
              <w:jc w:val="left"/>
            </w:pPr>
            <w:r>
              <w:t xml:space="preserve">30,000</w:t>
            </w:r>
          </w:p>
        </w:tc>
        <w:tc>
          <w:tcPr/>
          <w:p>
            <w:pPr>
              <w:pStyle w:val="Compact"/>
              <w:jc w:val="left"/>
            </w:pPr>
            <w:r>
              <w:t xml:space="preserve">Monthly retainer</w:t>
            </w:r>
          </w:p>
        </w:tc>
      </w:tr>
      <w:tr>
        <w:tc>
          <w:tcPr/>
          <w:p>
            <w:pPr>
              <w:pStyle w:val="Compact"/>
              <w:jc w:val="left"/>
            </w:pPr>
            <w:r>
              <w:t xml:space="preserve">7</w:t>
            </w:r>
          </w:p>
        </w:tc>
        <w:tc>
          <w:tcPr/>
          <w:p>
            <w:pPr>
              <w:pStyle w:val="Compact"/>
              <w:jc w:val="left"/>
            </w:pPr>
            <w:r>
              <w:t xml:space="preserve">Arbitration and mediation facilitation</w:t>
            </w:r>
          </w:p>
        </w:tc>
        <w:tc>
          <w:tcPr/>
          <w:p>
            <w:pPr>
              <w:pStyle w:val="Compact"/>
              <w:jc w:val="left"/>
            </w:pPr>
            <w:r>
              <w:t xml:space="preserve">6,000</w:t>
            </w:r>
          </w:p>
        </w:tc>
        <w:tc>
          <w:tcPr/>
          <w:p>
            <w:pPr>
              <w:pStyle w:val="Compact"/>
              <w:jc w:val="left"/>
            </w:pPr>
            <w:r>
              <w:t xml:space="preserve">1 session</w:t>
            </w:r>
          </w:p>
        </w:tc>
        <w:tc>
          <w:tcPr/>
          <w:p>
            <w:pPr>
              <w:pStyle w:val="Compact"/>
              <w:jc w:val="left"/>
            </w:pPr>
            <w:r>
              <w:t xml:space="preserve">6,000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Translation and notarization of legal documents (Arabic/English)</w:t>
            </w:r>
          </w:p>
        </w:tc>
        <w:tc>
          <w:tcPr/>
          <w:p>
            <w:pPr>
              <w:pStyle w:val="Compact"/>
              <w:jc w:val="left"/>
            </w:pPr>
            <w:r>
              <w:t xml:space="preserve">800</w:t>
            </w:r>
          </w:p>
        </w:tc>
        <w:tc>
          <w:tcPr/>
          <w:p>
            <w:pPr>
              <w:pStyle w:val="Compact"/>
              <w:jc w:val="left"/>
            </w:pPr>
            <w:r>
              <w:t xml:space="preserve">10 pages</w:t>
            </w:r>
          </w:p>
        </w:tc>
        <w:tc>
          <w:tcPr/>
          <w:p>
            <w:pPr>
              <w:pStyle w:val="Compact"/>
              <w:jc w:val="left"/>
            </w:pPr>
            <w:r>
              <w:t xml:space="preserve">8,000</w:t>
            </w:r>
          </w:p>
        </w:tc>
        <w:tc>
          <w:tcPr/>
          <w:p>
            <w:pPr>
              <w:pStyle w:val="Compact"/>
              <w:jc w:val="left"/>
            </w:pPr>
            <w:r>
              <w:t xml:space="preserve">Per 10 pages</w:t>
            </w:r>
          </w:p>
        </w:tc>
      </w:tr>
      <w:tr>
        <w:tc>
          <w:tcPr/>
          <w:p>
            <w:pPr>
              <w:pStyle w:val="Compact"/>
              <w:jc w:val="left"/>
            </w:pPr>
            <w:r>
              <w:t xml:space="preserve">9</w:t>
            </w:r>
          </w:p>
        </w:tc>
        <w:tc>
          <w:tcPr/>
          <w:p>
            <w:pPr>
              <w:pStyle w:val="Compact"/>
              <w:jc w:val="left"/>
            </w:pPr>
            <w:r>
              <w:t xml:space="preserve">Travel and court appearance fees within Jeddah metropolitan area</w:t>
            </w:r>
          </w:p>
        </w:tc>
        <w:tc>
          <w:tcPr/>
          <w:p>
            <w:pPr>
              <w:pStyle w:val="Compact"/>
              <w:jc w:val="left"/>
            </w:pPr>
            <w:r>
              <w:t xml:space="preserve">500</w:t>
            </w:r>
          </w:p>
        </w:tc>
        <w:tc>
          <w:tcPr/>
          <w:p>
            <w:pPr>
              <w:pStyle w:val="Compact"/>
              <w:jc w:val="left"/>
            </w:pPr>
            <w:r>
              <w:t xml:space="preserve">6 trips</w:t>
            </w:r>
          </w:p>
        </w:tc>
        <w:tc>
          <w:tcPr/>
          <w:p>
            <w:pPr>
              <w:pStyle w:val="Compact"/>
              <w:jc w:val="left"/>
            </w:pPr>
            <w:r>
              <w:t xml:space="preserve">3,000</w:t>
            </w:r>
          </w:p>
        </w:tc>
        <w:tc>
          <w:tcPr/>
          <w:p>
            <w:pPr>
              <w:pStyle w:val="Compact"/>
              <w:jc w:val="left"/>
            </w:pPr>
            <w:r>
              <w:t xml:space="preserve">Per trip</w:t>
            </w:r>
          </w:p>
        </w:tc>
      </w:tr>
      <w:tr>
        <w:tc>
          <w:tcPr/>
          <w:p>
            <w:pPr>
              <w:pStyle w:val="Compact"/>
              <w:jc w:val="left"/>
            </w:pPr>
            <w:r>
              <w:t xml:space="preserve">10</w:t>
            </w:r>
          </w:p>
        </w:tc>
        <w:tc>
          <w:tcPr/>
          <w:p>
            <w:pPr>
              <w:pStyle w:val="Compact"/>
              <w:jc w:val="left"/>
            </w:pPr>
            <w:r>
              <w:t xml:space="preserve">Urgent legal opinion / memorandum (within 48 hours)</w:t>
            </w:r>
          </w:p>
        </w:tc>
        <w:tc>
          <w:tcPr/>
          <w:p>
            <w:pPr>
              <w:pStyle w:val="Compact"/>
              <w:jc w:val="left"/>
            </w:pPr>
            <w:r>
              <w:t xml:space="preserve">4,000</w:t>
            </w:r>
          </w:p>
        </w:tc>
        <w:tc>
          <w:tcPr/>
          <w:p>
            <w:pPr>
              <w:pStyle w:val="Compact"/>
              <w:jc w:val="left"/>
            </w:pPr>
            <w:r>
              <w:t xml:space="preserve">1</w:t>
            </w:r>
          </w:p>
        </w:tc>
        <w:tc>
          <w:tcPr/>
          <w:p>
            <w:pPr>
              <w:pStyle w:val="Compact"/>
              <w:jc w:val="left"/>
            </w:pPr>
            <w:r>
              <w:t xml:space="preserve">4,000</w:t>
            </w:r>
          </w:p>
        </w:tc>
        <w:tc>
          <w:tcPr/>
          <w:p>
            <w:pPr>
              <w:pStyle w:val="Compact"/>
              <w:jc w:val="left"/>
            </w:pPr>
            <w:r>
              <w:t xml:space="preserve">One-time</w:t>
            </w:r>
          </w:p>
        </w:tc>
      </w:tr>
      <w:tr>
        <w:tc>
          <w:tcPr>
            <w:gridSpan w:val="4"/>
          </w:tcPr>
          <w:p>
            <w:pPr>
              <w:pStyle w:val="Compact"/>
              <w:jc w:val="right"/>
            </w:pPr>
            <w:r>
              <w:t xml:space="preserve">Subtotal</w:t>
            </w:r>
          </w:p>
        </w:tc>
        <w:tc>
          <w:tcPr/>
          <w:p>
            <w:pPr>
              <w:pStyle w:val="Compact"/>
              <w:jc w:val="left"/>
            </w:pPr>
            <w:r>
              <w:t xml:space="preserve">101,500</w:t>
            </w:r>
          </w:p>
        </w:tc>
        <w:tc>
          <w:tcPr/>
          <w:p>
            <w:pPr>
              <w:pStyle w:val="Compact"/>
            </w:pPr>
          </w:p>
        </w:tc>
      </w:tr>
      <w:tr>
        <w:tc>
          <w:tcPr>
            <w:gridSpan w:val="4"/>
          </w:tcPr>
          <w:p>
            <w:pPr>
              <w:pStyle w:val="Compact"/>
              <w:jc w:val="right"/>
            </w:pPr>
            <w:r>
              <w:t xml:space="preserve">VAT (15% as per Saudi Arabia tax regulations)</w:t>
            </w:r>
          </w:p>
        </w:tc>
        <w:tc>
          <w:tcPr/>
          <w:p>
            <w:pPr>
              <w:pStyle w:val="Compact"/>
              <w:jc w:val="left"/>
            </w:pPr>
            <w:r>
              <w:t xml:space="preserve">15,225</w:t>
            </w:r>
          </w:p>
        </w:tc>
        <w:tc>
          <w:tcPr/>
          <w:p>
            <w:pPr>
              <w:pStyle w:val="Compact"/>
            </w:pPr>
          </w:p>
        </w:tc>
      </w:tr>
      <w:tr>
        <w:tc>
          <w:tcPr>
            <w:gridSpan w:val="4"/>
          </w:tcPr>
          <w:p>
            <w:pPr>
              <w:pStyle w:val="Compact"/>
              <w:jc w:val="right"/>
            </w:pPr>
            <w:r>
              <w:t xml:space="preserve">TOTAL AMOUNT DUE</w:t>
            </w:r>
          </w:p>
        </w:tc>
        <w:tc>
          <w:tcPr/>
          <w:p>
            <w:pPr>
              <w:pStyle w:val="Compact"/>
              <w:jc w:val="left"/>
            </w:pPr>
            <w:r>
              <w:t xml:space="preserve">116,725</w:t>
            </w:r>
          </w:p>
        </w:tc>
        <w:tc>
          <w:tcPr/>
          <w:p>
            <w:pPr>
              <w:pStyle w:val="Compact"/>
              <w:jc w:val="left"/>
            </w:pPr>
            <w:r>
              <w:t xml:space="preserve">SAR</w:t>
            </w:r>
          </w:p>
        </w:tc>
      </w:tr>
    </w:tbl>
    <w:p>
      <w:pPr>
        <w:pStyle w:val="BodyText"/>
      </w:pPr>
      <w:r>
        <w:rPr>
          <w:bCs/>
          <w:b/>
        </w:rPr>
        <w:t xml:space="preserve">Note:</w:t>
      </w:r>
      <w:r>
        <w:t xml:space="preserve"> </w:t>
      </w:r>
      <w:r>
        <w:t xml:space="preserve">This Quotation Estimate is prepared exclusively for the client named above and is valid for 30 calendar days from the date of issue. All fees are quoted in Saudi Riyal (SAR) and are subject to the 15% Value Added Tax (VAT) mandated by the Zakat, Tax and Customs Authority (ZATCA) in Saudi Arabia. Additional services not listed herein will be subject to a separate Quotation Estimate issued by the Lawyer prior to commencement.</w:t>
      </w:r>
    </w:p>
    <w:bookmarkEnd w:id="24"/>
    <w:bookmarkStart w:id="25" w:name="payment-terms-and-conditions"/>
    <w:p>
      <w:pPr>
        <w:pStyle w:val="Heading2"/>
      </w:pPr>
      <w:r>
        <w:t xml:space="preserve">3. Payment Terms and Conditions</w:t>
      </w:r>
    </w:p>
    <w:p>
      <w:pPr>
        <w:numPr>
          <w:ilvl w:val="0"/>
          <w:numId w:val="1002"/>
        </w:numPr>
        <w:pStyle w:val="Compact"/>
      </w:pPr>
      <w:r>
        <w:t xml:space="preserve">A</w:t>
      </w:r>
      <w:r>
        <w:t xml:space="preserve"> </w:t>
      </w:r>
      <w:r>
        <w:rPr>
          <w:bCs/>
          <w:b/>
        </w:rPr>
        <w:t xml:space="preserve">50% advance payment</w:t>
      </w:r>
      <w:r>
        <w:t xml:space="preserve"> </w:t>
      </w:r>
      <w:r>
        <w:t xml:space="preserve">(SAR 58,362.50) is required upon acceptance of this Quotation Estimate to initiate the engagement of the Lawyer and commence legal work in Saudi Arabia Jeddah.</w:t>
      </w:r>
    </w:p>
    <w:p>
      <w:pPr>
        <w:numPr>
          <w:ilvl w:val="0"/>
          <w:numId w:val="1002"/>
        </w:numPr>
        <w:pStyle w:val="Compact"/>
      </w:pPr>
      <w:r>
        <w:t xml:space="preserve">The</w:t>
      </w:r>
      <w:r>
        <w:t xml:space="preserve"> </w:t>
      </w:r>
      <w:r>
        <w:rPr>
          <w:bCs/>
          <w:b/>
        </w:rPr>
        <w:t xml:space="preserve">remaining 50%</w:t>
      </w:r>
      <w:r>
        <w:t xml:space="preserve"> </w:t>
      </w:r>
      <w:r>
        <w:t xml:space="preserve">(SAR 58,362.50) shall be due upon completion of all services outlined in Section 1, or as per the milestone schedule agreed upon in the retainer agreement.</w:t>
      </w:r>
    </w:p>
    <w:p>
      <w:pPr>
        <w:numPr>
          <w:ilvl w:val="0"/>
          <w:numId w:val="1002"/>
        </w:numPr>
        <w:pStyle w:val="Compact"/>
      </w:pPr>
      <w:r>
        <w:t xml:space="preserve">Payments shall be made via bank transfer to the firm's designated account at Al-Rajhi Bank, Jeddah Branch. Cheques and cash payments are not accepted for amounts exceeding SAR 5,000.</w:t>
      </w:r>
    </w:p>
    <w:p>
      <w:pPr>
        <w:numPr>
          <w:ilvl w:val="0"/>
          <w:numId w:val="1002"/>
        </w:numPr>
        <w:pStyle w:val="Compact"/>
      </w:pPr>
      <w:r>
        <w:t xml:space="preserve">Any overdue payments shall attract a late fee of 2% per month, calculated from the due date, in accordance with Saudi commercial law.</w:t>
      </w:r>
    </w:p>
    <w:p>
      <w:pPr>
        <w:numPr>
          <w:ilvl w:val="0"/>
          <w:numId w:val="1002"/>
        </w:numPr>
        <w:pStyle w:val="Compact"/>
      </w:pPr>
      <w:r>
        <w:t xml:space="preserve">The monthly retainer fee (Item 6) is payable in advance on the 1st of each calendar month. Failure to pay within 10 business days may result in suspension of services.</w:t>
      </w:r>
    </w:p>
    <w:p>
      <w:pPr>
        <w:numPr>
          <w:ilvl w:val="0"/>
          <w:numId w:val="1002"/>
        </w:numPr>
        <w:pStyle w:val="Compact"/>
      </w:pPr>
      <w:r>
        <w:t xml:space="preserve">All court filing fees, government stamp duties, and third-party costs (e.g., SAIP registration fees, translation agency charges) are</w:t>
      </w:r>
      <w:r>
        <w:t xml:space="preserve"> </w:t>
      </w:r>
      <w:r>
        <w:rPr>
          <w:bCs/>
          <w:b/>
        </w:rPr>
        <w:t xml:space="preserve">not included</w:t>
      </w:r>
      <w:r>
        <w:t xml:space="preserve"> </w:t>
      </w:r>
      <w:r>
        <w:t xml:space="preserve">in this Quotation Estimate and shall be billed separately at actual cost.</w:t>
      </w:r>
    </w:p>
    <w:bookmarkEnd w:id="25"/>
    <w:bookmarkStart w:id="26" w:name="general-terms-and-conditions"/>
    <w:p>
      <w:pPr>
        <w:pStyle w:val="Heading2"/>
      </w:pPr>
      <w:r>
        <w:t xml:space="preserve">4. General Terms and Conditions</w:t>
      </w:r>
    </w:p>
    <w:p>
      <w:pPr>
        <w:numPr>
          <w:ilvl w:val="0"/>
          <w:numId w:val="1003"/>
        </w:numPr>
        <w:pStyle w:val="Compact"/>
      </w:pPr>
      <w:r>
        <w:t xml:space="preserve">This Quotation Estimate does not constitute a binding contract until both parties sign the formal Legal Services Agreement (Retainer Contract) in accordance with the Saudi Civil Transactions Law.</w:t>
      </w:r>
    </w:p>
    <w:p>
      <w:pPr>
        <w:numPr>
          <w:ilvl w:val="0"/>
          <w:numId w:val="1003"/>
        </w:numPr>
        <w:pStyle w:val="Compact"/>
      </w:pPr>
      <w:r>
        <w:t xml:space="preserve">The Lawyer and firm shall maintain strict confidentiality regarding all client information, documents, and case details, in compliance with the Saudi Data and AI Authority (SDAIA) regulations and professional ethical codes.</w:t>
      </w:r>
    </w:p>
    <w:p>
      <w:pPr>
        <w:numPr>
          <w:ilvl w:val="0"/>
          <w:numId w:val="1003"/>
        </w:numPr>
        <w:pStyle w:val="Compact"/>
      </w:pPr>
      <w:r>
        <w:t xml:space="preserve">The Lawyer reserves the right to withdraw from representation with 14 days' written notice in the event of a conflict of interest, non-payment, or client misconduct.</w:t>
      </w:r>
    </w:p>
    <w:p>
      <w:pPr>
        <w:numPr>
          <w:ilvl w:val="0"/>
          <w:numId w:val="1003"/>
        </w:numPr>
        <w:pStyle w:val="Compact"/>
      </w:pPr>
      <w:r>
        <w:t xml:space="preserve">All legal opinions, drafts, and documents produced under this engagement are the intellectual property of the firm and may not be reproduced or disclosed to third parties without written consent.</w:t>
      </w:r>
    </w:p>
    <w:p>
      <w:pPr>
        <w:numPr>
          <w:ilvl w:val="0"/>
          <w:numId w:val="1003"/>
        </w:numPr>
        <w:pStyle w:val="Compact"/>
      </w:pPr>
      <w:r>
        <w:t xml:space="preserve">This Quotation Estimate is governed by and shall be interpreted in accordance with the laws of the Kingdom of Saudi Arabia. Any disputes arising from this estimate shall be resolved through the competent courts in Saudi Arabia Jeddah or by arbitration under the Saudi Center for Commercial Arbitration (SCCA).</w:t>
      </w:r>
    </w:p>
    <w:p>
      <w:pPr>
        <w:numPr>
          <w:ilvl w:val="0"/>
          <w:numId w:val="1003"/>
        </w:numPr>
        <w:pStyle w:val="Compact"/>
      </w:pPr>
      <w:r>
        <w:t xml:space="preserve">The firm is not liable for any indirect, consequential, or punitive damages arising from the services rendered. The total liability of the Lawyer shall not exceed the total fees paid under this Quotation Estimate.</w:t>
      </w:r>
    </w:p>
    <w:p>
      <w:pPr>
        <w:numPr>
          <w:ilvl w:val="0"/>
          <w:numId w:val="1003"/>
        </w:numPr>
        <w:pStyle w:val="Compact"/>
      </w:pPr>
      <w:r>
        <w:t xml:space="preserve">Force majeure events, including but not limited to government orders, natural disasters, or public health emergencies, shall exempt the firm from performance obligations during the affected period.</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Lawyer</w:t>
      </w:r>
      <w:r>
        <w:t xml:space="preserve"> </w:t>
      </w:r>
      <w:r>
        <w:t xml:space="preserve">and legal firm in</w:t>
      </w:r>
      <w:r>
        <w:t xml:space="preserve"> </w:t>
      </w:r>
      <w:r>
        <w:t xml:space="preserve">Saudi Arabia Jeddah</w:t>
      </w:r>
      <w:r>
        <w:t xml:space="preserve">. This signature does not constitute a final contract but serves as an expression of intent to proceed with the formal engagement.</w:t>
      </w:r>
    </w:p>
    <w:p>
      <w:pPr>
        <w:pStyle w:val="BodyText"/>
      </w:pPr>
      <w:r>
        <w:rPr>
          <w:bCs/>
          <w:b/>
        </w:rPr>
        <w:t xml:space="preserve">Client Signature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Company Stamp:</w:t>
      </w:r>
    </w:p>
    <w:p>
      <w:pPr>
        <w:pStyle w:val="BodyText"/>
      </w:pPr>
      <w:r>
        <w:rPr>
          <w:bCs/>
          <w:b/>
        </w:rPr>
        <w:t xml:space="preserve">Lawyer / Authorized Representative</w:t>
      </w:r>
    </w:p>
    <w:p>
      <w:pPr>
        <w:pStyle w:val="BodyText"/>
      </w:pPr>
      <w:r>
        <w:t xml:space="preserve">Name: Adv. Khalid Al-Rashid</w:t>
      </w:r>
    </w:p>
    <w:p>
      <w:pPr>
        <w:pStyle w:val="BodyText"/>
      </w:pPr>
      <w:r>
        <w:t xml:space="preserve">Title: Managing Partner &amp; Lead Lawyer</w:t>
      </w:r>
    </w:p>
    <w:p>
      <w:pPr>
        <w:pStyle w:val="BodyText"/>
      </w:pPr>
      <w:r>
        <w:t xml:space="preserve">Date: 15 June 2025</w:t>
      </w:r>
    </w:p>
    <w:p>
      <w:pPr>
        <w:pStyle w:val="BodyText"/>
      </w:pPr>
      <w:r>
        <w:t xml:space="preserve">Firm Stamp:</w:t>
      </w:r>
    </w:p>
    <w:p>
      <w:pPr>
        <w:pStyle w:val="BodyText"/>
      </w:pPr>
      <w:r>
        <w:rPr>
          <w:bCs/>
          <w:b/>
        </w:rPr>
        <w:t xml:space="preserve">Al-Rashid Legal Consultancy &amp; Advocacy</w:t>
      </w:r>
      <w:r>
        <w:t xml:space="preserve"> </w:t>
      </w:r>
      <w:r>
        <w:t xml:space="preserve">| King Fahd Road, Al-Salam, Saudi Arabia Jeddah 23412</w:t>
      </w:r>
    </w:p>
    <w:p>
      <w:pPr>
        <w:pStyle w:val="BodyText"/>
      </w:pPr>
      <w:r>
        <w:t xml:space="preserve">CR: 1010456789 | VAT Reg: 310123456700003 | Phone: +966 12 654 3210 | Email: legal@alrashid-law.sa</w:t>
      </w:r>
    </w:p>
    <w:p>
      <w:pPr>
        <w:pStyle w:val="BodyText"/>
      </w:pPr>
      <w:r>
        <w:t xml:space="preserve">This Quotation Estimate is generated electronically and is valid without a physical stamp. For verification, contact the firm directly. © 2025 Al-Rashid Legal Consultancy &amp; Advocacy.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Saudi Arabia Jeddah</dc:title>
  <dc:creator/>
  <dc:language>en</dc:language>
  <cp:keywords/>
  <dcterms:created xsi:type="dcterms:W3CDTF">2026-10-10T09:17:43Z</dcterms:created>
  <dcterms:modified xsi:type="dcterms:W3CDTF">2026-10-10T09:17:43Z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