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Legal</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Riyadh</w:t>
      </w:r>
    </w:p>
    <w:bookmarkStart w:id="20" w:name="quotation-estimate"/>
    <w:p>
      <w:pPr>
        <w:pStyle w:val="Heading1"/>
      </w:pPr>
      <w:r>
        <w:t xml:space="preserve">Quotation Estimate</w:t>
      </w:r>
    </w:p>
    <w:p>
      <w:pPr>
        <w:pStyle w:val="FirstParagraph"/>
      </w:pPr>
      <w:r>
        <w:t xml:space="preserve">Professional Legal Services — Lawyer Consultation &amp; Representation</w:t>
      </w:r>
    </w:p>
    <w:p>
      <w:pPr>
        <w:pStyle w:val="BodyText"/>
      </w:pPr>
      <w:r>
        <w:t xml:space="preserve">Serving Clients Across Saudi Arabia Riyadh and the Kingdom</w:t>
      </w:r>
    </w:p>
    <w:bookmarkEnd w:id="20"/>
    <w:bookmarkStart w:id="21" w:name="law-firm-details"/>
    <w:p>
      <w:pPr>
        <w:pStyle w:val="Heading3"/>
      </w:pPr>
      <w:r>
        <w:t xml:space="preserve">Law Firm Details</w:t>
      </w:r>
    </w:p>
    <w:p>
      <w:pPr>
        <w:pStyle w:val="FirstParagraph"/>
      </w:pPr>
      <w:r>
        <w:rPr>
          <w:bCs/>
          <w:b/>
        </w:rPr>
        <w:t xml:space="preserve">Firm Name:</w:t>
      </w:r>
      <w:r>
        <w:t xml:space="preserve"> </w:t>
      </w:r>
      <w:r>
        <w:t xml:space="preserve">Al-Riyadh Legal Counsel &amp; Associates</w:t>
      </w:r>
    </w:p>
    <w:p>
      <w:pPr>
        <w:pStyle w:val="BodyText"/>
      </w:pPr>
      <w:r>
        <w:rPr>
          <w:bCs/>
          <w:b/>
        </w:rPr>
        <w:t xml:space="preserve">Address:</w:t>
      </w:r>
      <w:r>
        <w:t xml:space="preserve"> </w:t>
      </w:r>
      <w:r>
        <w:t xml:space="preserve">King Fahd Road, Al Olaya District, Riyadh 12212, Saudi Arabia</w:t>
      </w:r>
    </w:p>
    <w:p>
      <w:pPr>
        <w:pStyle w:val="BodyText"/>
      </w:pPr>
      <w:r>
        <w:rPr>
          <w:bCs/>
          <w:b/>
        </w:rPr>
        <w:t xml:space="preserve">Phone:</w:t>
      </w:r>
      <w:r>
        <w:t xml:space="preserve"> </w:t>
      </w:r>
      <w:r>
        <w:t xml:space="preserve">+966 11 456 7890</w:t>
      </w:r>
    </w:p>
    <w:p>
      <w:pPr>
        <w:pStyle w:val="BodyText"/>
      </w:pPr>
      <w:r>
        <w:rPr>
          <w:bCs/>
          <w:b/>
        </w:rPr>
        <w:t xml:space="preserve">Email:</w:t>
      </w:r>
      <w:r>
        <w:t xml:space="preserve"> </w:t>
      </w:r>
      <w:r>
        <w:t xml:space="preserve">legal@alriyadhlegal.sa</w:t>
      </w:r>
    </w:p>
    <w:p>
      <w:pPr>
        <w:pStyle w:val="BodyText"/>
      </w:pPr>
      <w:r>
        <w:rPr>
          <w:bCs/>
          <w:b/>
        </w:rPr>
        <w:t xml:space="preserve">CR Number:</w:t>
      </w:r>
      <w:r>
        <w:t xml:space="preserve"> </w:t>
      </w:r>
      <w:r>
        <w:t xml:space="preserve">1010XXXXXX</w:t>
      </w:r>
    </w:p>
    <w:p>
      <w:pPr>
        <w:pStyle w:val="BodyText"/>
      </w:pPr>
      <w:r>
        <w:rPr>
          <w:bCs/>
          <w:b/>
        </w:rPr>
        <w:t xml:space="preserve">Ministry of Justice License:</w:t>
      </w:r>
      <w:r>
        <w:t xml:space="preserve"> </w:t>
      </w:r>
      <w:r>
        <w:t xml:space="preserve">MOJ-2024-004521</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___________________________</w:t>
      </w:r>
    </w:p>
    <w:p>
      <w:pPr>
        <w:pStyle w:val="BodyText"/>
      </w:pPr>
      <w:r>
        <w:rPr>
          <w:bCs/>
          <w:b/>
        </w:rPr>
        <w:t xml:space="preserve">Company / Entity:</w:t>
      </w:r>
      <w:r>
        <w:t xml:space="preserve"> </w:t>
      </w:r>
      <w:r>
        <w:t xml:space="preserve">___________________________</w:t>
      </w:r>
    </w:p>
    <w:p>
      <w:pPr>
        <w:pStyle w:val="BodyText"/>
      </w:pPr>
      <w:r>
        <w:rPr>
          <w:bCs/>
          <w:b/>
        </w:rPr>
        <w:t xml:space="preserve">Address:</w:t>
      </w:r>
      <w:r>
        <w:t xml:space="preserve"> </w:t>
      </w:r>
      <w:r>
        <w:t xml:space="preserve">Riyadh, Saudi Arabia</w:t>
      </w:r>
    </w:p>
    <w:p>
      <w:pPr>
        <w:pStyle w:val="BodyText"/>
      </w:pPr>
      <w:r>
        <w:rPr>
          <w:bCs/>
          <w:b/>
        </w:rPr>
        <w:t xml:space="preserve">Phone:</w:t>
      </w:r>
      <w:r>
        <w:t xml:space="preserve"> </w:t>
      </w:r>
      <w:r>
        <w:t xml:space="preserve">___________________________</w:t>
      </w:r>
    </w:p>
    <w:p>
      <w:pPr>
        <w:pStyle w:val="BodyText"/>
      </w:pPr>
      <w:r>
        <w:rPr>
          <w:bCs/>
          <w:b/>
        </w:rPr>
        <w:t xml:space="preserve">Email:</w:t>
      </w:r>
      <w:r>
        <w:t xml:space="preserve"> </w:t>
      </w:r>
      <w:r>
        <w:t xml:space="preserve">___________________________</w:t>
      </w:r>
    </w:p>
    <w:p>
      <w:pPr>
        <w:pStyle w:val="BodyText"/>
      </w:pPr>
      <w:r>
        <w:rPr>
          <w:bCs/>
          <w:b/>
        </w:rPr>
        <w:t xml:space="preserve">National ID / CR:</w:t>
      </w:r>
      <w:r>
        <w:t xml:space="preserve"> </w:t>
      </w:r>
      <w:r>
        <w:t xml:space="preserve">___________________________</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QE-2025-00847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days)</w:t>
            </w:r>
          </w:p>
        </w:tc>
        <w:tc>
          <w:tcPr/>
          <w:p>
            <w:pPr>
              <w:pStyle w:val="Compact"/>
              <w:jc w:val="left"/>
            </w:pPr>
            <w:r>
              <w:t xml:space="preserve">Prepared By:</w:t>
            </w:r>
          </w:p>
        </w:tc>
        <w:tc>
          <w:tcPr/>
          <w:p>
            <w:pPr>
              <w:pStyle w:val="Compact"/>
              <w:jc w:val="left"/>
            </w:pPr>
            <w:r>
              <w:t xml:space="preserve">Adv. Khalid Al-Mutairi, Senior Lawyer</w:t>
            </w:r>
          </w:p>
        </w:tc>
      </w:tr>
      <w:tr>
        <w:tc>
          <w:tcPr/>
          <w:p>
            <w:pPr>
              <w:pStyle w:val="Compact"/>
              <w:jc w:val="left"/>
            </w:pPr>
            <w:r>
              <w:t xml:space="preserve">Service Location:</w:t>
            </w:r>
          </w:p>
        </w:tc>
        <w:tc>
          <w:tcPr>
            <w:gridSpan w:val="3"/>
          </w:tcPr>
          <w:p>
            <w:pPr>
              <w:pStyle w:val="Compact"/>
              <w:jc w:val="left"/>
            </w:pPr>
            <w:r>
              <w:t xml:space="preserve">Riyadh, Saudi Arabia (All courts and government offices within the Riyadh region)</w:t>
            </w:r>
          </w:p>
        </w:tc>
      </w:tr>
    </w:tbl>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Al-Riyadh Legal Counsel &amp; Associates to provide the above-named client with a comprehensive, transparent, and itemized breakdown of professional fees for the engagement of a qualified</w:t>
      </w:r>
      <w:r>
        <w:t xml:space="preserve"> </w:t>
      </w:r>
      <w:r>
        <w:t xml:space="preserve">Lawyer</w:t>
      </w:r>
      <w:r>
        <w:t xml:space="preserve"> </w:t>
      </w:r>
      <w:r>
        <w:t xml:space="preserve">to represent and advise the client in legal matters within</w:t>
      </w:r>
      <w:r>
        <w:t xml:space="preserve"> </w:t>
      </w:r>
      <w:r>
        <w:t xml:space="preserve">Saudi Arabia Riyadh</w:t>
      </w:r>
      <w:r>
        <w:t xml:space="preserve">. This document serves as a formal estimate of costs and does not constitute a binding contract until countersigned by both parties. All fees are quoted in Saudi Riyals (SAR) and are subject to the terms and conditions outlined herein.</w:t>
      </w:r>
    </w:p>
    <w:bookmarkEnd w:id="23"/>
    <w:bookmarkStart w:id="24" w:name="scope-of-legal-services"/>
    <w:p>
      <w:pPr>
        <w:pStyle w:val="Heading2"/>
      </w:pPr>
      <w:r>
        <w:t xml:space="preserve">2. Scope of Legal Services</w:t>
      </w:r>
    </w:p>
    <w:p>
      <w:pPr>
        <w:pStyle w:val="FirstParagraph"/>
      </w:pPr>
      <w:r>
        <w:t xml:space="preserve">The</w:t>
      </w:r>
      <w:r>
        <w:t xml:space="preserve"> </w:t>
      </w:r>
      <w:r>
        <w:t xml:space="preserve">Lawyer</w:t>
      </w:r>
      <w:r>
        <w:t xml:space="preserve"> </w:t>
      </w:r>
      <w:r>
        <w:t xml:space="preserve">engaged under this</w:t>
      </w:r>
      <w:r>
        <w:t xml:space="preserve"> </w:t>
      </w:r>
      <w:r>
        <w:t xml:space="preserve">Quotation Estimate</w:t>
      </w:r>
      <w:r>
        <w:t xml:space="preserve"> </w:t>
      </w:r>
      <w:r>
        <w:t xml:space="preserve">shall provide the following professional legal services in</w:t>
      </w:r>
      <w:r>
        <w:t xml:space="preserve"> </w:t>
      </w:r>
      <w:r>
        <w:t xml:space="preserve">Saudi Arabia Riyadh</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 / Unit</w:t>
            </w:r>
          </w:p>
        </w:tc>
        <w:tc>
          <w:tcPr/>
          <w:p>
            <w:pPr>
              <w:pStyle w:val="Compact"/>
              <w:jc w:val="left"/>
            </w:pPr>
            <w:r>
              <w:t xml:space="preserve">Rate (SAR)</w:t>
            </w:r>
          </w:p>
        </w:tc>
        <w:tc>
          <w:tcPr/>
          <w:p>
            <w:pPr>
              <w:pStyle w:val="Compact"/>
              <w:jc w:val="left"/>
            </w:pPr>
            <w:r>
              <w:t xml:space="preserve">Estimated Total (SAR)</w:t>
            </w:r>
          </w:p>
        </w:tc>
      </w:tr>
      <w:tr>
        <w:tc>
          <w:tcPr/>
          <w:p>
            <w:pPr>
              <w:pStyle w:val="Compact"/>
              <w:jc w:val="left"/>
            </w:pPr>
            <w:r>
              <w:t xml:space="preserve">1</w:t>
            </w:r>
          </w:p>
        </w:tc>
        <w:tc>
          <w:tcPr/>
          <w:p>
            <w:pPr>
              <w:pStyle w:val="Compact"/>
              <w:jc w:val="left"/>
            </w:pPr>
            <w:r>
              <w:t xml:space="preserve">Initial legal consultation and case assessment by a senior Lawyer at our Riyadh office</w:t>
            </w:r>
          </w:p>
        </w:tc>
        <w:tc>
          <w:tcPr/>
          <w:p>
            <w:pPr>
              <w:pStyle w:val="Compact"/>
              <w:jc w:val="left"/>
            </w:pPr>
            <w:r>
              <w:t xml:space="preserve">2 hours</w:t>
            </w:r>
          </w:p>
        </w:tc>
        <w:tc>
          <w:tcPr/>
          <w:p>
            <w:pPr>
              <w:pStyle w:val="Compact"/>
              <w:jc w:val="left"/>
            </w:pPr>
            <w:r>
              <w:t xml:space="preserve">1,500 / hr</w:t>
            </w:r>
          </w:p>
        </w:tc>
        <w:tc>
          <w:tcPr/>
          <w:p>
            <w:pPr>
              <w:pStyle w:val="Compact"/>
              <w:jc w:val="left"/>
            </w:pPr>
            <w:r>
              <w:t xml:space="preserve">3,000</w:t>
            </w:r>
          </w:p>
        </w:tc>
      </w:tr>
      <w:tr>
        <w:tc>
          <w:tcPr/>
          <w:p>
            <w:pPr>
              <w:pStyle w:val="Compact"/>
              <w:jc w:val="left"/>
            </w:pPr>
            <w:r>
              <w:t xml:space="preserve">2</w:t>
            </w:r>
          </w:p>
        </w:tc>
        <w:tc>
          <w:tcPr/>
          <w:p>
            <w:pPr>
              <w:pStyle w:val="Compact"/>
              <w:jc w:val="left"/>
            </w:pPr>
            <w:r>
              <w:t xml:space="preserve">Preparation and review of legal documents, contracts, and correspondence in Arabic and English</w:t>
            </w:r>
          </w:p>
        </w:tc>
        <w:tc>
          <w:tcPr/>
          <w:p>
            <w:pPr>
              <w:pStyle w:val="Compact"/>
              <w:jc w:val="left"/>
            </w:pPr>
            <w:r>
              <w:t xml:space="preserve">Up to 20 hours</w:t>
            </w:r>
          </w:p>
        </w:tc>
        <w:tc>
          <w:tcPr/>
          <w:p>
            <w:pPr>
              <w:pStyle w:val="Compact"/>
              <w:jc w:val="left"/>
            </w:pPr>
            <w:r>
              <w:t xml:space="preserve">1,200 / hr</w:t>
            </w:r>
          </w:p>
        </w:tc>
        <w:tc>
          <w:tcPr/>
          <w:p>
            <w:pPr>
              <w:pStyle w:val="Compact"/>
              <w:jc w:val="left"/>
            </w:pPr>
            <w:r>
              <w:t xml:space="preserve">24,000</w:t>
            </w:r>
          </w:p>
        </w:tc>
      </w:tr>
      <w:tr>
        <w:tc>
          <w:tcPr/>
          <w:p>
            <w:pPr>
              <w:pStyle w:val="Compact"/>
              <w:jc w:val="left"/>
            </w:pPr>
            <w:r>
              <w:t xml:space="preserve">3</w:t>
            </w:r>
          </w:p>
        </w:tc>
        <w:tc>
          <w:tcPr/>
          <w:p>
            <w:pPr>
              <w:pStyle w:val="Compact"/>
              <w:jc w:val="left"/>
            </w:pPr>
            <w:r>
              <w:t xml:space="preserve">Court representation before the Riyadh General Court, Commercial Court, or Shari'a Court</w:t>
            </w:r>
          </w:p>
        </w:tc>
        <w:tc>
          <w:tcPr/>
          <w:p>
            <w:pPr>
              <w:pStyle w:val="Compact"/>
              <w:jc w:val="left"/>
            </w:pPr>
            <w:r>
              <w:t xml:space="preserve">Up to 8 hearings</w:t>
            </w:r>
          </w:p>
        </w:tc>
        <w:tc>
          <w:tcPr/>
          <w:p>
            <w:pPr>
              <w:pStyle w:val="Compact"/>
              <w:jc w:val="left"/>
            </w:pPr>
            <w:r>
              <w:t xml:space="preserve">3,500 / hearing</w:t>
            </w:r>
          </w:p>
        </w:tc>
        <w:tc>
          <w:tcPr/>
          <w:p>
            <w:pPr>
              <w:pStyle w:val="Compact"/>
              <w:jc w:val="left"/>
            </w:pPr>
            <w:r>
              <w:t xml:space="preserve">28,000</w:t>
            </w:r>
          </w:p>
        </w:tc>
      </w:tr>
      <w:tr>
        <w:tc>
          <w:tcPr/>
          <w:p>
            <w:pPr>
              <w:pStyle w:val="Compact"/>
              <w:jc w:val="left"/>
            </w:pPr>
            <w:r>
              <w:t xml:space="preserve">4</w:t>
            </w:r>
          </w:p>
        </w:tc>
        <w:tc>
          <w:tcPr/>
          <w:p>
            <w:pPr>
              <w:pStyle w:val="Compact"/>
              <w:jc w:val="left"/>
            </w:pPr>
            <w:r>
              <w:t xml:space="preserve">Drafting and filing of legal petitions, appeals, and motions with Saudi judicial authorities</w:t>
            </w:r>
          </w:p>
        </w:tc>
        <w:tc>
          <w:tcPr/>
          <w:p>
            <w:pPr>
              <w:pStyle w:val="Compact"/>
              <w:jc w:val="left"/>
            </w:pPr>
            <w:r>
              <w:t xml:space="preserve">Up to 5 filings</w:t>
            </w:r>
          </w:p>
        </w:tc>
        <w:tc>
          <w:tcPr/>
          <w:p>
            <w:pPr>
              <w:pStyle w:val="Compact"/>
              <w:jc w:val="left"/>
            </w:pPr>
            <w:r>
              <w:t xml:space="preserve">2,000 / filing</w:t>
            </w:r>
          </w:p>
        </w:tc>
        <w:tc>
          <w:tcPr/>
          <w:p>
            <w:pPr>
              <w:pStyle w:val="Compact"/>
              <w:jc w:val="left"/>
            </w:pPr>
            <w:r>
              <w:t xml:space="preserve">10,000</w:t>
            </w:r>
          </w:p>
        </w:tc>
      </w:tr>
      <w:tr>
        <w:tc>
          <w:tcPr/>
          <w:p>
            <w:pPr>
              <w:pStyle w:val="Compact"/>
              <w:jc w:val="left"/>
            </w:pPr>
            <w:r>
              <w:t xml:space="preserve">5</w:t>
            </w:r>
          </w:p>
        </w:tc>
        <w:tc>
          <w:tcPr/>
          <w:p>
            <w:pPr>
              <w:pStyle w:val="Compact"/>
              <w:jc w:val="left"/>
            </w:pPr>
            <w:r>
              <w:t xml:space="preserve">Negotiation and settlement discussions with opposing counsel or government entities in Riyadh</w:t>
            </w:r>
          </w:p>
        </w:tc>
        <w:tc>
          <w:tcPr/>
          <w:p>
            <w:pPr>
              <w:pStyle w:val="Compact"/>
              <w:jc w:val="left"/>
            </w:pPr>
            <w:r>
              <w:t xml:space="preserve">Up to 10 hours</w:t>
            </w:r>
          </w:p>
        </w:tc>
        <w:tc>
          <w:tcPr/>
          <w:p>
            <w:pPr>
              <w:pStyle w:val="Compact"/>
              <w:jc w:val="left"/>
            </w:pPr>
            <w:r>
              <w:t xml:space="preserve">1,800 / hr</w:t>
            </w:r>
          </w:p>
        </w:tc>
        <w:tc>
          <w:tcPr/>
          <w:p>
            <w:pPr>
              <w:pStyle w:val="Compact"/>
              <w:jc w:val="left"/>
            </w:pPr>
            <w:r>
              <w:t xml:space="preserve">18,000</w:t>
            </w:r>
          </w:p>
        </w:tc>
      </w:tr>
      <w:tr>
        <w:tc>
          <w:tcPr/>
          <w:p>
            <w:pPr>
              <w:pStyle w:val="Compact"/>
              <w:jc w:val="left"/>
            </w:pPr>
            <w:r>
              <w:t xml:space="preserve">6</w:t>
            </w:r>
          </w:p>
        </w:tc>
        <w:tc>
          <w:tcPr/>
          <w:p>
            <w:pPr>
              <w:pStyle w:val="Compact"/>
              <w:jc w:val="left"/>
            </w:pPr>
            <w:r>
              <w:t xml:space="preserve">Legal opinion letter on regulatory compliance under Saudi law (Ministry of Justice, SAMA, or CMA)</w:t>
            </w:r>
          </w:p>
        </w:tc>
        <w:tc>
          <w:tcPr/>
          <w:p>
            <w:pPr>
              <w:pStyle w:val="Compact"/>
              <w:jc w:val="left"/>
            </w:pPr>
            <w:r>
              <w:t xml:space="preserve">1 opinion</w:t>
            </w:r>
          </w:p>
        </w:tc>
        <w:tc>
          <w:tcPr/>
          <w:p>
            <w:pPr>
              <w:pStyle w:val="Compact"/>
              <w:jc w:val="left"/>
            </w:pPr>
            <w:r>
              <w:t xml:space="preserve">5,000</w:t>
            </w:r>
          </w:p>
        </w:tc>
        <w:tc>
          <w:tcPr/>
          <w:p>
            <w:pPr>
              <w:pStyle w:val="Compact"/>
              <w:jc w:val="left"/>
            </w:pPr>
            <w:r>
              <w:t xml:space="preserve">5,000</w:t>
            </w:r>
          </w:p>
        </w:tc>
      </w:tr>
      <w:tr>
        <w:tc>
          <w:tcPr/>
          <w:p>
            <w:pPr>
              <w:pStyle w:val="Compact"/>
              <w:jc w:val="left"/>
            </w:pPr>
            <w:r>
              <w:t xml:space="preserve">7</w:t>
            </w:r>
          </w:p>
        </w:tc>
        <w:tc>
          <w:tcPr/>
          <w:p>
            <w:pPr>
              <w:pStyle w:val="Compact"/>
              <w:jc w:val="left"/>
            </w:pPr>
            <w:r>
              <w:t xml:space="preserve">Administrative and court filing fees (government charges, notary, translation, and service of process)</w:t>
            </w:r>
          </w:p>
        </w:tc>
        <w:tc>
          <w:tcPr/>
          <w:p>
            <w:pPr>
              <w:pStyle w:val="Compact"/>
              <w:jc w:val="left"/>
            </w:pPr>
            <w:r>
              <w:t xml:space="preserve">Estimated</w:t>
            </w:r>
          </w:p>
        </w:tc>
        <w:tc>
          <w:tcPr/>
          <w:p>
            <w:pPr>
              <w:pStyle w:val="Compact"/>
              <w:jc w:val="left"/>
            </w:pPr>
            <w:r>
              <w:t xml:space="preserve">—</w:t>
            </w:r>
          </w:p>
        </w:tc>
        <w:tc>
          <w:tcPr/>
          <w:p>
            <w:pPr>
              <w:pStyle w:val="Compact"/>
              <w:jc w:val="left"/>
            </w:pPr>
            <w:r>
              <w:t xml:space="preserve">4,500</w:t>
            </w:r>
          </w:p>
        </w:tc>
      </w:tr>
      <w:tr>
        <w:tc>
          <w:tcPr/>
          <w:p>
            <w:pPr>
              <w:pStyle w:val="Compact"/>
              <w:jc w:val="left"/>
            </w:pPr>
            <w:r>
              <w:t xml:space="preserve">8</w:t>
            </w:r>
          </w:p>
        </w:tc>
        <w:tc>
          <w:tcPr/>
          <w:p>
            <w:pPr>
              <w:pStyle w:val="Compact"/>
              <w:jc w:val="left"/>
            </w:pPr>
            <w:r>
              <w:t xml:space="preserve">Travel and logistics within Riyadh metropolitan area for court appearances and client meetings</w:t>
            </w:r>
          </w:p>
        </w:tc>
        <w:tc>
          <w:tcPr/>
          <w:p>
            <w:pPr>
              <w:pStyle w:val="Compact"/>
              <w:jc w:val="left"/>
            </w:pPr>
            <w:r>
              <w:t xml:space="preserve">Estimated</w:t>
            </w:r>
          </w:p>
        </w:tc>
        <w:tc>
          <w:tcPr/>
          <w:p>
            <w:pPr>
              <w:pStyle w:val="Compact"/>
              <w:jc w:val="left"/>
            </w:pPr>
            <w:r>
              <w:t xml:space="preserve">—</w:t>
            </w:r>
          </w:p>
        </w:tc>
        <w:tc>
          <w:tcPr/>
          <w:p>
            <w:pPr>
              <w:pStyle w:val="Compact"/>
              <w:jc w:val="left"/>
            </w:pPr>
            <w:r>
              <w:t xml:space="preserve">2,500</w:t>
            </w:r>
          </w:p>
        </w:tc>
      </w:tr>
      <w:tr>
        <w:tc>
          <w:tcPr>
            <w:gridSpan w:val="4"/>
          </w:tcPr>
          <w:p>
            <w:pPr>
              <w:pStyle w:val="Compact"/>
              <w:jc w:val="left"/>
            </w:pPr>
            <w:r>
              <w:t xml:space="preserve">TOTAL ESTIMATED FEE (Before VAT)</w:t>
            </w:r>
          </w:p>
        </w:tc>
        <w:tc>
          <w:tcPr/>
          <w:p>
            <w:pPr>
              <w:pStyle w:val="Compact"/>
              <w:jc w:val="left"/>
            </w:pPr>
            <w:r>
              <w:t xml:space="preserve">95,000 SAR</w:t>
            </w:r>
          </w:p>
        </w:tc>
      </w:tr>
      <w:tr>
        <w:tc>
          <w:tcPr>
            <w:gridSpan w:val="4"/>
          </w:tcPr>
          <w:p>
            <w:pPr>
              <w:pStyle w:val="Compact"/>
              <w:jc w:val="left"/>
            </w:pPr>
            <w:r>
              <w:t xml:space="preserve">VAT @ 15% (Zakat, Tax and Customs Authority)</w:t>
            </w:r>
          </w:p>
        </w:tc>
        <w:tc>
          <w:tcPr/>
          <w:p>
            <w:pPr>
              <w:pStyle w:val="Compact"/>
              <w:jc w:val="left"/>
            </w:pPr>
            <w:r>
              <w:t xml:space="preserve">14,250 SAR</w:t>
            </w:r>
          </w:p>
        </w:tc>
      </w:tr>
      <w:tr>
        <w:tc>
          <w:tcPr>
            <w:gridSpan w:val="4"/>
          </w:tcPr>
          <w:p>
            <w:pPr>
              <w:pStyle w:val="Compact"/>
              <w:jc w:val="left"/>
            </w:pPr>
            <w:r>
              <w:t xml:space="preserve">GRAND TOTAL (Including VAT)</w:t>
            </w:r>
          </w:p>
        </w:tc>
        <w:tc>
          <w:tcPr/>
          <w:p>
            <w:pPr>
              <w:pStyle w:val="Compact"/>
              <w:jc w:val="left"/>
            </w:pPr>
            <w:r>
              <w:t xml:space="preserve">109,250 SAR</w:t>
            </w:r>
          </w:p>
        </w:tc>
      </w:tr>
    </w:tbl>
    <w:p>
      <w:pPr>
        <w:pStyle w:val="BodyText"/>
      </w:pPr>
      <w:r>
        <w:rPr>
          <w:bCs/>
          <w:b/>
        </w:rPr>
        <w:t xml:space="preserve">Note:</w:t>
      </w:r>
      <w:r>
        <w:t xml:space="preserve"> </w:t>
      </w:r>
      <w:r>
        <w:t xml:space="preserve">This Quotation Estimate is based on the information provided by the client as of the date of issue. Should the scope of legal work expand beyond the parameters described above, the Lawyer will issue a supplementary Quotation Estimate for additional services prior to commencing any extra work. All rates are exclusive of out-of-pocket expenses exceeding SAR 500 per item, which will be pre-approved in writing.</w:t>
      </w:r>
    </w:p>
    <w:bookmarkEnd w:id="24"/>
    <w:bookmarkStart w:id="25" w:name="payment-terms"/>
    <w:p>
      <w:pPr>
        <w:pStyle w:val="Heading2"/>
      </w:pPr>
      <w:r>
        <w:t xml:space="preserve">3. Payment Terms</w:t>
      </w:r>
    </w:p>
    <w:p>
      <w:pPr>
        <w:pStyle w:val="FirstParagraph"/>
      </w:pPr>
      <w:r>
        <w:t xml:space="preserve">The total amount specified in this Quotation Estimate shall be paid according to the following schedule:</w:t>
      </w:r>
    </w:p>
    <w:p>
      <w:pPr>
        <w:pStyle w:val="BodyText"/>
      </w:pPr>
      <w:r>
        <w:rPr>
          <w:bCs/>
          <w:b/>
        </w:rPr>
        <w:t xml:space="preserve">30% advance payment</w:t>
      </w:r>
      <w:r>
        <w:t xml:space="preserve"> </w:t>
      </w:r>
      <w:r>
        <w:t xml:space="preserve">(SAR 32,775) upon execution of the engagement letter and acceptance of this Quotation Estimate.</w:t>
      </w:r>
    </w:p>
    <w:p>
      <w:pPr>
        <w:pStyle w:val="BodyText"/>
      </w:pPr>
      <w:r>
        <w:rPr>
          <w:bCs/>
          <w:b/>
        </w:rPr>
        <w:t xml:space="preserve">40% interim payment</w:t>
      </w:r>
      <w:r>
        <w:t xml:space="preserve"> </w:t>
      </w:r>
      <w:r>
        <w:t xml:space="preserve">(SAR 43,700) upon completion of document preparation and prior to the first court appearance in Riyadh.</w:t>
      </w:r>
    </w:p>
    <w:p>
      <w:pPr>
        <w:pStyle w:val="BodyText"/>
      </w:pPr>
      <w:r>
        <w:rPr>
          <w:bCs/>
          <w:b/>
        </w:rPr>
        <w:t xml:space="preserve">30% final payment</w:t>
      </w:r>
      <w:r>
        <w:t xml:space="preserve"> </w:t>
      </w:r>
      <w:r>
        <w:t xml:space="preserve">(SAR 32,775) upon conclusion of the matter or delivery of the final legal opinion, whichever occurs first.</w:t>
      </w:r>
    </w:p>
    <w:p>
      <w:pPr>
        <w:pStyle w:val="BodyText"/>
      </w:pPr>
      <w:r>
        <w:t xml:space="preserve">All payments shall be made via bank transfer to the firm's designated account at Al Rajhi Bank, Riyadh Branch. Invoices will be issued in accordance with the requirements of the Zakat, Tax and Customs Authority (ZATCA) in Saudi Arabia.</w:t>
      </w:r>
    </w:p>
    <w:bookmarkEnd w:id="25"/>
    <w:bookmarkStart w:id="26" w:name="terms-and-conditions"/>
    <w:p>
      <w:pPr>
        <w:pStyle w:val="Heading2"/>
      </w:pPr>
      <w:r>
        <w:t xml:space="preserve">4. Terms and Conditions</w:t>
      </w:r>
    </w:p>
    <w:p>
      <w:pPr>
        <w:pStyle w:val="FirstParagraph"/>
      </w:pPr>
      <w:r>
        <w:rPr>
          <w:bCs/>
          <w:b/>
        </w:rPr>
        <w:t xml:space="preserve">4.1</w:t>
      </w:r>
      <w:r>
        <w:t xml:space="preserve"> </w:t>
      </w:r>
      <w:r>
        <w:t xml:space="preserve">This Quotation Estimate is valid for a period of thirty (30) calendar days from the date of issue. Beyond this period, the Lawyer reserves the right to revise fees based on prevailing market conditions in Saudi Arabia Riyadh.</w:t>
      </w:r>
    </w:p>
    <w:p>
      <w:pPr>
        <w:pStyle w:val="BodyText"/>
      </w:pPr>
      <w:r>
        <w:rPr>
          <w:bCs/>
          <w:b/>
        </w:rPr>
        <w:t xml:space="preserve">4.2</w:t>
      </w:r>
      <w:r>
        <w:t xml:space="preserve"> </w:t>
      </w:r>
      <w:r>
        <w:t xml:space="preserve">The Lawyer shall maintain strict confidentiality regarding all client information, case details, and legal strategies in accordance with the Saudi Legal Profession Law and the firm's professional ethics code.</w:t>
      </w:r>
    </w:p>
    <w:p>
      <w:pPr>
        <w:pStyle w:val="BodyText"/>
      </w:pPr>
      <w:r>
        <w:rPr>
          <w:bCs/>
          <w:b/>
        </w:rPr>
        <w:t xml:space="preserve">4.3</w:t>
      </w:r>
      <w:r>
        <w:t xml:space="preserve"> </w:t>
      </w:r>
      <w:r>
        <w:t xml:space="preserve">The client agrees to provide all necessary documents, evidence, and information in a timely manner. Delays caused by the client may result in additional fees or adverse legal consequences, for which the Lawyer shall not be held liable.</w:t>
      </w:r>
    </w:p>
    <w:p>
      <w:pPr>
        <w:pStyle w:val="BodyText"/>
      </w:pPr>
      <w:r>
        <w:rPr>
          <w:bCs/>
          <w:b/>
        </w:rPr>
        <w:t xml:space="preserve">4.4</w:t>
      </w:r>
      <w:r>
        <w:t xml:space="preserve"> </w:t>
      </w:r>
      <w:r>
        <w:t xml:space="preserve">The Lawyer shall act with the utmost diligence, competence, and professional judgment in representing the client's interests before all courts, tribunals, and government bodies in Saudi Arabia Riyadh.</w:t>
      </w:r>
    </w:p>
    <w:p>
      <w:pPr>
        <w:pStyle w:val="BodyText"/>
      </w:pPr>
      <w:r>
        <w:rPr>
          <w:bCs/>
          <w:b/>
        </w:rPr>
        <w:t xml:space="preserve">4.5</w:t>
      </w:r>
      <w:r>
        <w:t xml:space="preserve"> </w:t>
      </w:r>
      <w:r>
        <w:t xml:space="preserve">This Quotation Estimate does not guarantee any specific legal outcome. The Lawyer shall provide honest and realistic assessments of the merits and risks of the case.</w:t>
      </w:r>
    </w:p>
    <w:p>
      <w:pPr>
        <w:pStyle w:val="BodyText"/>
      </w:pPr>
      <w:r>
        <w:rPr>
          <w:bCs/>
          <w:b/>
        </w:rPr>
        <w:t xml:space="preserve">4.6</w:t>
      </w:r>
      <w:r>
        <w:t xml:space="preserve"> </w:t>
      </w:r>
      <w:r>
        <w:t xml:space="preserve">Any dispute arising from this engagement shall be resolved through amicable negotiation first, and failing that, through the competent courts in Riyadh, Saudi Arabia, in accordance with the Saudi Arbitration and Dispute Resolution Law.</w:t>
      </w:r>
    </w:p>
    <w:p>
      <w:pPr>
        <w:pStyle w:val="BodyText"/>
      </w:pPr>
      <w:r>
        <w:rPr>
          <w:bCs/>
          <w:b/>
        </w:rPr>
        <w:t xml:space="preserve">4.7</w:t>
      </w:r>
      <w:r>
        <w:t xml:space="preserve"> </w:t>
      </w:r>
      <w:r>
        <w:t xml:space="preserve">The Lawyer may delegate certain tasks to qualified paralegals or junior associates under the direct supervision of the lead Lawyer, without additional charge to the client.</w:t>
      </w:r>
    </w:p>
    <w:bookmarkEnd w:id="26"/>
    <w:bookmarkStart w:id="27" w:name="acceptance-and-authorization"/>
    <w:p>
      <w:pPr>
        <w:pStyle w:val="Heading2"/>
      </w:pPr>
      <w:r>
        <w:t xml:space="preserve">5. Acceptance and Authorization</w:t>
      </w:r>
    </w:p>
    <w:p>
      <w:pPr>
        <w:pStyle w:val="FirstParagraph"/>
      </w:pPr>
      <w:r>
        <w:t xml:space="preserve">By signing below, the client acknowledges receipt of this Quotation Estimate, agrees to the scope of services, fees, and terms outlined herein, and authorizes the Lawyer to commence legal work in Saudi Arabia Riyadh upon receipt of the advance payment.</w:t>
      </w:r>
    </w:p>
    <w:p>
      <w:pPr>
        <w:pStyle w:val="BodyText"/>
      </w:pPr>
      <w:r>
        <w:rPr>
          <w:bCs/>
          <w:b/>
        </w:rPr>
        <w:t xml:space="preserve">For the Law Firm</w:t>
      </w:r>
      <w:r>
        <w:br/>
      </w:r>
      <w:r>
        <w:t xml:space="preserve">Adv. Khalid Al-Mutairi</w:t>
      </w:r>
      <w:r>
        <w:br/>
      </w:r>
      <w:r>
        <w:t xml:space="preserve">Senior Lawyer &amp; Managing Partner</w:t>
      </w:r>
      <w:r>
        <w:br/>
      </w:r>
      <w:r>
        <w:t xml:space="preserve">Al-Riyadh Legal Counsel &amp; Associates</w:t>
      </w:r>
      <w:r>
        <w:br/>
      </w:r>
      <w:r>
        <w:t xml:space="preserve">Date: _______________</w:t>
      </w:r>
    </w:p>
    <w:p>
      <w:pPr>
        <w:pStyle w:val="BodyText"/>
      </w:pPr>
      <w:r>
        <w:rPr>
          <w:bCs/>
          <w:b/>
        </w:rPr>
        <w:t xml:space="preserve">For the Client</w:t>
      </w:r>
      <w:r>
        <w:br/>
      </w:r>
      <w:r>
        <w:t xml:space="preserve">Name: _________________________</w:t>
      </w:r>
      <w:r>
        <w:br/>
      </w:r>
      <w:r>
        <w:t xml:space="preserve">Title: _________________________</w:t>
      </w:r>
      <w:r>
        <w:br/>
      </w:r>
      <w:r>
        <w:t xml:space="preserve">Company: _________________________</w:t>
      </w:r>
      <w:r>
        <w:br/>
      </w:r>
      <w:r>
        <w:t xml:space="preserve">Date: _______________</w:t>
      </w:r>
    </w:p>
    <w:p>
      <w:pPr>
        <w:pStyle w:val="BodyText"/>
      </w:pPr>
      <w:r>
        <w:t xml:space="preserve">Al-Riyadh Legal Counsel &amp; Associates — Quotation Estimate QE-2025-00847 — Page 1 of 1</w:t>
      </w:r>
    </w:p>
    <w:p>
      <w:pPr>
        <w:pStyle w:val="BodyText"/>
      </w:pPr>
      <w:r>
        <w:t xml:space="preserve">This document is generated for the client named above and is the property of Al-Riyadh Legal Counsel &amp; Associates, Riyadh, Saudi Arabia. Unauthorized reproduction or distribution is prohibited.</w:t>
      </w:r>
    </w:p>
    <w:p>
      <w:pPr>
        <w:pStyle w:val="BodyText"/>
      </w:pPr>
      <w:r>
        <w:t xml:space="preserve">© 2025 Al-Riyadh Legal Counsel &amp; Associates.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Legal Services - Saudi Arabia Riyadh</dc:title>
  <dc:creator/>
  <dc:language>en</dc:language>
  <cp:keywords/>
  <dcterms:created xsi:type="dcterms:W3CDTF">2026-10-10T06:49:06Z</dcterms:created>
  <dcterms:modified xsi:type="dcterms:W3CDTF">2026-10-10T06:49:06Z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