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quotation-estimate"/>
    <w:p>
      <w:pPr>
        <w:pStyle w:val="Heading1"/>
      </w:pPr>
      <w:r>
        <w:t xml:space="preserve">QUOTATION ESTIMATE</w:t>
      </w:r>
    </w:p>
    <w:p>
      <w:pPr>
        <w:pStyle w:val="FirstParagraph"/>
      </w:pPr>
      <w:r>
        <w:t xml:space="preserve">Professional Legal Services — Attorney at Law</w:t>
      </w:r>
    </w:p>
    <w:bookmarkEnd w:id="20"/>
    <w:bookmarkStart w:id="21" w:name="law-firm"/>
    <w:p>
      <w:pPr>
        <w:pStyle w:val="Heading3"/>
      </w:pPr>
      <w:r>
        <w:t xml:space="preserve">Law Firm</w:t>
      </w:r>
    </w:p>
    <w:p>
      <w:pPr>
        <w:pStyle w:val="FirstParagraph"/>
      </w:pPr>
      <w:r>
        <w:rPr>
          <w:bCs/>
          <w:b/>
        </w:rPr>
        <w:t xml:space="preserve">Me. Amadou Diallo &amp; Associés</w:t>
      </w:r>
    </w:p>
    <w:p>
      <w:pPr>
        <w:pStyle w:val="BodyText"/>
      </w:pPr>
      <w:r>
        <w:t xml:space="preserve">Avocats à la Cour</w:t>
      </w:r>
    </w:p>
    <w:p>
      <w:pPr>
        <w:pStyle w:val="BodyText"/>
      </w:pPr>
      <w:r>
        <w:t xml:space="preserve">12, Boulevard du Général De Gaulle</w:t>
      </w:r>
    </w:p>
    <w:p>
      <w:pPr>
        <w:pStyle w:val="BodyText"/>
      </w:pPr>
      <w:r>
        <w:t xml:space="preserve">Dakar Plateau, Dakar, Sénégal</w:t>
      </w:r>
    </w:p>
    <w:p>
      <w:pPr>
        <w:pStyle w:val="BodyText"/>
      </w:pPr>
      <w:r>
        <w:t xml:space="preserve">Tel: +221 33 820 45 67</w:t>
      </w:r>
    </w:p>
    <w:p>
      <w:pPr>
        <w:pStyle w:val="BodyText"/>
      </w:pPr>
      <w:r>
        <w:t xml:space="preserve">Email: contact@diallo-avocats.sn</w:t>
      </w:r>
    </w:p>
    <w:p>
      <w:pPr>
        <w:pStyle w:val="BodyText"/>
      </w:pPr>
      <w:r>
        <w:t xml:space="preserve">Bar Registration: Ordre des Avocats du Sénégal</w:t>
      </w:r>
    </w:p>
    <w:bookmarkEnd w:id="21"/>
    <w:bookmarkStart w:id="22" w:name="client"/>
    <w:p>
      <w:pPr>
        <w:pStyle w:val="Heading3"/>
      </w:pPr>
      <w:r>
        <w:t xml:space="preserve">Client</w:t>
      </w:r>
    </w:p>
    <w:p>
      <w:pPr>
        <w:pStyle w:val="FirstParagraph"/>
      </w:pPr>
      <w:r>
        <w:rPr>
          <w:bCs/>
          <w:b/>
        </w:rPr>
        <w:t xml:space="preserve">Mr. Jean-Pierre Ndiaye</w:t>
      </w:r>
    </w:p>
    <w:p>
      <w:pPr>
        <w:pStyle w:val="BodyText"/>
      </w:pPr>
      <w:r>
        <w:t xml:space="preserve">Directeur Général</w:t>
      </w:r>
    </w:p>
    <w:p>
      <w:pPr>
        <w:pStyle w:val="BodyText"/>
      </w:pPr>
      <w:r>
        <w:t xml:space="preserve">Société Commerciale du Sahel SARL</w:t>
      </w:r>
    </w:p>
    <w:p>
      <w:pPr>
        <w:pStyle w:val="BodyText"/>
      </w:pPr>
      <w:r>
        <w:t xml:space="preserve">45, Avenue Lamine Guéye</w:t>
      </w:r>
    </w:p>
    <w:p>
      <w:pPr>
        <w:pStyle w:val="BodyText"/>
      </w:pPr>
      <w:r>
        <w:t xml:space="preserve">Dakar, Sénégal</w:t>
      </w:r>
    </w:p>
    <w:p>
      <w:pPr>
        <w:pStyle w:val="BodyText"/>
      </w:pPr>
      <w:r>
        <w:t xml:space="preserve">Tel: +221 77 555 12 34</w:t>
      </w:r>
    </w:p>
    <w:p>
      <w:pPr>
        <w:pStyle w:val="BodyText"/>
      </w:pPr>
      <w:r>
        <w:t xml:space="preserve">Email: j.p.ndiaye@scsahel.sn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QE-2025-DAK-0047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Currency:</w:t>
            </w:r>
          </w:p>
        </w:tc>
        <w:tc>
          <w:tcPr/>
          <w:p>
            <w:pPr>
              <w:pStyle w:val="Compact"/>
              <w:jc w:val="left"/>
            </w:pPr>
            <w:r>
              <w:t xml:space="preserve">West African CFA Franc (XOF / FCFA)</w:t>
            </w:r>
          </w:p>
        </w:tc>
      </w:tr>
      <w:tr>
        <w:tc>
          <w:tcPr/>
          <w:p>
            <w:pPr>
              <w:pStyle w:val="Compact"/>
              <w:jc w:val="left"/>
            </w:pPr>
            <w:r>
              <w:t xml:space="preserve">Applicable Jurisdiction:</w:t>
            </w:r>
          </w:p>
        </w:tc>
        <w:tc>
          <w:tcPr/>
          <w:p>
            <w:pPr>
              <w:pStyle w:val="Compact"/>
              <w:jc w:val="left"/>
            </w:pPr>
            <w:r>
              <w:t xml:space="preserve">Republic of Senegal — Dakar</w:t>
            </w:r>
          </w:p>
        </w:tc>
      </w:tr>
    </w:tbl>
    <w:bookmarkStart w:id="23" w:name="X0c7581080508d578c26b6d8dfd726c7e3ca5cc9"/>
    <w:p>
      <w:pPr>
        <w:pStyle w:val="Heading2"/>
      </w:pPr>
      <w:r>
        <w:t xml:space="preserve">1. Purpose and Scope of This Quotation Estimate</w:t>
      </w:r>
    </w:p>
    <w:p>
      <w:pPr>
        <w:pStyle w:val="FirstParagraph"/>
      </w:pPr>
      <w:r>
        <w:t xml:space="preserve">This Quotation Estimate is issued by the undersigned Lawyer, Me. Amadou Diallo, a duly registered attorney at the Bar of Dakar, Senegal, in response to the formal request submitted by the Client on 02 June 2025. This document constitutes a detailed and binding estimate of the professional legal fees, disbursements, and ancillary costs that will be incurred in connection with the engagement of the Lawyer to represent and advise the Client in matters of corporate law, commercial litigation, and regulatory compliance before the competent courts and administrative authorities in Dakar, Senegal.</w:t>
      </w:r>
    </w:p>
    <w:p>
      <w:pPr>
        <w:pStyle w:val="BodyText"/>
      </w:pPr>
      <w:r>
        <w:t xml:space="preserve">The scope of legal services covered by this Quotation Estimate encompasses all advisory, drafting, negotiation, and litigation activities that the Lawyer and his team will perform on behalf of the Client throughout the engagement period. This Quotation Estimate is prepared in accordance with the fee regulations of the Ordre des Avocats du Sénégal and the applicable provisions of the Senegalese Code of Civil Procedure and the Code de Commerce.</w:t>
      </w:r>
    </w:p>
    <w:bookmarkEnd w:id="23"/>
    <w:bookmarkStart w:id="24" w:name="detailed-scope-of-legal-services"/>
    <w:p>
      <w:pPr>
        <w:pStyle w:val="Heading2"/>
      </w:pPr>
      <w:r>
        <w:t xml:space="preserve">2. Detailed Scope of Legal Services</w:t>
      </w:r>
    </w:p>
    <w:p>
      <w:pPr>
        <w:numPr>
          <w:ilvl w:val="0"/>
          <w:numId w:val="1001"/>
        </w:numPr>
        <w:pStyle w:val="Compact"/>
      </w:pPr>
      <w:r>
        <w:rPr>
          <w:bCs/>
          <w:b/>
        </w:rPr>
        <w:t xml:space="preserve">Corporate Advisory:</w:t>
      </w:r>
      <w:r>
        <w:t xml:space="preserve"> </w:t>
      </w:r>
      <w:r>
        <w:t xml:space="preserve">Comprehensive legal review and restructuring of the Client's corporate governance documents, including the Articles of Association, Shareholders' Agreements, and Board Resolutions, in full compliance with the Senegalese Commercial Code (Code de Commerce) and the OHADA Uniform Acts applicable in Senegal.</w:t>
      </w:r>
    </w:p>
    <w:p>
      <w:pPr>
        <w:numPr>
          <w:ilvl w:val="0"/>
          <w:numId w:val="1001"/>
        </w:numPr>
        <w:pStyle w:val="Compact"/>
      </w:pPr>
      <w:r>
        <w:rPr>
          <w:bCs/>
          <w:b/>
        </w:rPr>
        <w:t xml:space="preserve">Commercial Litigation Representation:</w:t>
      </w:r>
      <w:r>
        <w:t xml:space="preserve"> </w:t>
      </w:r>
      <w:r>
        <w:t xml:space="preserve">Full representation of the Client before the Tribunal de Commerce de Dakar and, where necessary, the Cour d'Appel de Dakar, in the pending dispute concerning a breach of a supply contract (Case No. TC/2025/0312). This includes preparation of pleadings, attendance at hearings, cross-examination of witnesses, and submission of final written arguments.</w:t>
      </w:r>
    </w:p>
    <w:p>
      <w:pPr>
        <w:numPr>
          <w:ilvl w:val="0"/>
          <w:numId w:val="1001"/>
        </w:numPr>
        <w:pStyle w:val="Compact"/>
      </w:pPr>
      <w:r>
        <w:rPr>
          <w:bCs/>
          <w:b/>
        </w:rPr>
        <w:t xml:space="preserve">Regulatory Compliance:</w:t>
      </w:r>
      <w:r>
        <w:t xml:space="preserve"> </w:t>
      </w:r>
      <w:r>
        <w:t xml:space="preserve">Legal opinion and compliance audit regarding the Client's obligations under the Senegalese Labour Code (Code du Travail), the tax code of Senegal, and the regulations of the Agence Nationale de la Statistique et de la Démographie (ANSD).</w:t>
      </w:r>
    </w:p>
    <w:p>
      <w:pPr>
        <w:numPr>
          <w:ilvl w:val="0"/>
          <w:numId w:val="1001"/>
        </w:numPr>
        <w:pStyle w:val="Compact"/>
      </w:pPr>
      <w:r>
        <w:rPr>
          <w:bCs/>
          <w:b/>
        </w:rPr>
        <w:t xml:space="preserve">Contract Drafting and Negotiation:</w:t>
      </w:r>
      <w:r>
        <w:t xml:space="preserve"> </w:t>
      </w:r>
      <w:r>
        <w:t xml:space="preserve">Drafting, review, and negotiation of no fewer than five (5) commercial contracts, including distribution agreements, service-level agreements, and non-disclosure agreements, to be executed in Dakar, Senegal.</w:t>
      </w:r>
    </w:p>
    <w:p>
      <w:pPr>
        <w:numPr>
          <w:ilvl w:val="0"/>
          <w:numId w:val="1001"/>
        </w:numPr>
        <w:pStyle w:val="Compact"/>
      </w:pPr>
      <w:r>
        <w:rPr>
          <w:bCs/>
          <w:b/>
        </w:rPr>
        <w:t xml:space="preserve">Intellectual Property Filing:</w:t>
      </w:r>
      <w:r>
        <w:t xml:space="preserve"> </w:t>
      </w:r>
      <w:r>
        <w:t xml:space="preserve">Preparation and submission of trademark registration applications before the Organisation Africaine de la Propriété Intellectuelle (OAPI) on behalf of the Client, with all correspondence and follow-up handled by the Lawyer's office in Dakar.</w:t>
      </w:r>
    </w:p>
    <w:p>
      <w:pPr>
        <w:numPr>
          <w:ilvl w:val="0"/>
          <w:numId w:val="1001"/>
        </w:numPr>
        <w:pStyle w:val="Compact"/>
      </w:pPr>
      <w:r>
        <w:rPr>
          <w:bCs/>
          <w:b/>
        </w:rPr>
        <w:t xml:space="preserve">General Legal Counsel:</w:t>
      </w:r>
      <w:r>
        <w:t xml:space="preserve"> </w:t>
      </w:r>
      <w:r>
        <w:t xml:space="preserve">Availability for ad-hoc legal consultations, telephone and in-person meetings at the firm's offices in Dakar Plateau, and written legal opinions on matters arising during the engagement period.</w:t>
      </w:r>
    </w:p>
    <w:bookmarkEnd w:id="24"/>
    <w:bookmarkStart w:id="25" w:name="fee-structure-and-cost-breakdown"/>
    <w:p>
      <w:pPr>
        <w:pStyle w:val="Heading2"/>
      </w:pPr>
      <w:r>
        <w:t xml:space="preserve">3. Fee Structure and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Estimated Cost (FCFA)</w:t>
            </w:r>
          </w:p>
        </w:tc>
      </w:tr>
      <w:tr>
        <w:tc>
          <w:tcPr/>
          <w:p>
            <w:pPr>
              <w:pStyle w:val="Compact"/>
              <w:jc w:val="left"/>
            </w:pPr>
            <w:r>
              <w:t xml:space="preserve">Corporate Advisory &amp; Restructuring</w:t>
            </w:r>
          </w:p>
        </w:tc>
        <w:tc>
          <w:tcPr/>
          <w:p>
            <w:pPr>
              <w:pStyle w:val="Compact"/>
              <w:jc w:val="left"/>
            </w:pPr>
            <w:r>
              <w:t xml:space="preserve">Full review and redrafting of governance documents</w:t>
            </w:r>
          </w:p>
        </w:tc>
        <w:tc>
          <w:tcPr/>
          <w:p>
            <w:pPr>
              <w:pStyle w:val="Compact"/>
              <w:jc w:val="left"/>
            </w:pPr>
            <w:r>
              <w:t xml:space="preserve">1,200,000</w:t>
            </w:r>
          </w:p>
        </w:tc>
      </w:tr>
      <w:tr>
        <w:tc>
          <w:tcPr/>
          <w:p>
            <w:pPr>
              <w:pStyle w:val="Compact"/>
              <w:jc w:val="left"/>
            </w:pPr>
            <w:r>
              <w:t xml:space="preserve">Commercial Litigation (Tribunal de Commerce de Dakar)</w:t>
            </w:r>
          </w:p>
        </w:tc>
        <w:tc>
          <w:tcPr/>
          <w:p>
            <w:pPr>
              <w:pStyle w:val="Compact"/>
              <w:jc w:val="left"/>
            </w:pPr>
            <w:r>
              <w:t xml:space="preserve">Full representation, all hearings, pleadings, and arguments</w:t>
            </w:r>
          </w:p>
        </w:tc>
        <w:tc>
          <w:tcPr/>
          <w:p>
            <w:pPr>
              <w:pStyle w:val="Compact"/>
              <w:jc w:val="left"/>
            </w:pPr>
            <w:r>
              <w:t xml:space="preserve">2,500,000</w:t>
            </w:r>
          </w:p>
        </w:tc>
      </w:tr>
      <w:tr>
        <w:tc>
          <w:tcPr/>
          <w:p>
            <w:pPr>
              <w:pStyle w:val="Compact"/>
              <w:jc w:val="left"/>
            </w:pPr>
            <w:r>
              <w:t xml:space="preserve">Regulatory Compliance Audit</w:t>
            </w:r>
          </w:p>
        </w:tc>
        <w:tc>
          <w:tcPr/>
          <w:p>
            <w:pPr>
              <w:pStyle w:val="Compact"/>
              <w:jc w:val="left"/>
            </w:pPr>
            <w:r>
              <w:t xml:space="preserve">Labour, tax, and statistical compliance review</w:t>
            </w:r>
          </w:p>
        </w:tc>
        <w:tc>
          <w:tcPr/>
          <w:p>
            <w:pPr>
              <w:pStyle w:val="Compact"/>
              <w:jc w:val="left"/>
            </w:pPr>
            <w:r>
              <w:t xml:space="preserve">850,000</w:t>
            </w:r>
          </w:p>
        </w:tc>
      </w:tr>
      <w:tr>
        <w:tc>
          <w:tcPr/>
          <w:p>
            <w:pPr>
              <w:pStyle w:val="Compact"/>
              <w:jc w:val="left"/>
            </w:pPr>
            <w:r>
              <w:t xml:space="preserve">Contract Drafting &amp; Negotiation (5 contracts)</w:t>
            </w:r>
          </w:p>
        </w:tc>
        <w:tc>
          <w:tcPr/>
          <w:p>
            <w:pPr>
              <w:pStyle w:val="Compact"/>
              <w:jc w:val="left"/>
            </w:pPr>
            <w:r>
              <w:t xml:space="preserve">Drafting, review, and negotiation support</w:t>
            </w:r>
          </w:p>
        </w:tc>
        <w:tc>
          <w:tcPr/>
          <w:p>
            <w:pPr>
              <w:pStyle w:val="Compact"/>
              <w:jc w:val="left"/>
            </w:pPr>
            <w:r>
              <w:t xml:space="preserve">1,500,000</w:t>
            </w:r>
          </w:p>
        </w:tc>
      </w:tr>
      <w:tr>
        <w:tc>
          <w:tcPr/>
          <w:p>
            <w:pPr>
              <w:pStyle w:val="Compact"/>
              <w:jc w:val="left"/>
            </w:pPr>
            <w:r>
              <w:t xml:space="preserve">Intellectual Property Filing (OAPI)</w:t>
            </w:r>
          </w:p>
        </w:tc>
        <w:tc>
          <w:tcPr/>
          <w:p>
            <w:pPr>
              <w:pStyle w:val="Compact"/>
              <w:jc w:val="left"/>
            </w:pPr>
            <w:r>
              <w:t xml:space="preserve">Trademark registration — 2 classes</w:t>
            </w:r>
          </w:p>
        </w:tc>
        <w:tc>
          <w:tcPr/>
          <w:p>
            <w:pPr>
              <w:pStyle w:val="Compact"/>
              <w:jc w:val="left"/>
            </w:pPr>
            <w:r>
              <w:t xml:space="preserve">450,000</w:t>
            </w:r>
          </w:p>
        </w:tc>
      </w:tr>
      <w:tr>
        <w:tc>
          <w:tcPr/>
          <w:p>
            <w:pPr>
              <w:pStyle w:val="Compact"/>
              <w:jc w:val="left"/>
            </w:pPr>
            <w:r>
              <w:t xml:space="preserve">General Legal Counsel (monthly retainer)</w:t>
            </w:r>
          </w:p>
        </w:tc>
        <w:tc>
          <w:tcPr/>
          <w:p>
            <w:pPr>
              <w:pStyle w:val="Compact"/>
              <w:jc w:val="left"/>
            </w:pPr>
            <w:r>
              <w:t xml:space="preserve">Ad-hoc consultations and written opinions — 6 months</w:t>
            </w:r>
          </w:p>
        </w:tc>
        <w:tc>
          <w:tcPr/>
          <w:p>
            <w:pPr>
              <w:pStyle w:val="Compact"/>
              <w:jc w:val="left"/>
            </w:pPr>
            <w:r>
              <w:t xml:space="preserve">1,800,000</w:t>
            </w:r>
          </w:p>
        </w:tc>
      </w:tr>
      <w:tr>
        <w:tc>
          <w:tcPr/>
          <w:p>
            <w:pPr>
              <w:pStyle w:val="Compact"/>
              <w:jc w:val="left"/>
            </w:pPr>
            <w:r>
              <w:t xml:space="preserve">Court Fees, Stamps &amp; Disbursements</w:t>
            </w:r>
          </w:p>
        </w:tc>
        <w:tc>
          <w:tcPr/>
          <w:p>
            <w:pPr>
              <w:pStyle w:val="Compact"/>
              <w:jc w:val="left"/>
            </w:pPr>
            <w:r>
              <w:t xml:space="preserve">Estimated filing fees, bailiff costs, and administrative charges in Dakar</w:t>
            </w:r>
          </w:p>
        </w:tc>
        <w:tc>
          <w:tcPr/>
          <w:p>
            <w:pPr>
              <w:pStyle w:val="Compact"/>
              <w:jc w:val="left"/>
            </w:pPr>
            <w:r>
              <w:t xml:space="preserve">350,000</w:t>
            </w:r>
          </w:p>
        </w:tc>
      </w:tr>
      <w:tr>
        <w:tc>
          <w:tcPr/>
          <w:p>
            <w:pPr>
              <w:pStyle w:val="Compact"/>
              <w:jc w:val="left"/>
            </w:pPr>
            <w:r>
              <w:t xml:space="preserve">Translation &amp; Certified Copies</w:t>
            </w:r>
          </w:p>
        </w:tc>
        <w:tc>
          <w:tcPr/>
          <w:p>
            <w:pPr>
              <w:pStyle w:val="Compact"/>
              <w:jc w:val="left"/>
            </w:pPr>
            <w:r>
              <w:t xml:space="preserve">French-English translation of key documents and certified copies</w:t>
            </w:r>
          </w:p>
        </w:tc>
        <w:tc>
          <w:tcPr/>
          <w:p>
            <w:pPr>
              <w:pStyle w:val="Compact"/>
              <w:jc w:val="left"/>
            </w:pPr>
            <w:r>
              <w:t xml:space="preserve">200,000</w:t>
            </w:r>
          </w:p>
        </w:tc>
      </w:tr>
      <w:tr>
        <w:tc>
          <w:tcPr>
            <w:gridSpan w:val="2"/>
          </w:tcPr>
          <w:p>
            <w:pPr>
              <w:pStyle w:val="Compact"/>
              <w:jc w:val="left"/>
            </w:pPr>
            <w:r>
              <w:t xml:space="preserve">TOTAL ESTIMATED FEE (before VAT)</w:t>
            </w:r>
          </w:p>
        </w:tc>
        <w:tc>
          <w:tcPr/>
          <w:p>
            <w:pPr>
              <w:pStyle w:val="Compact"/>
              <w:jc w:val="left"/>
            </w:pPr>
            <w:r>
              <w:t xml:space="preserve">8,850,000 FCFA</w:t>
            </w:r>
          </w:p>
        </w:tc>
      </w:tr>
      <w:tr>
        <w:tc>
          <w:tcPr>
            <w:gridSpan w:val="2"/>
          </w:tcPr>
          <w:p>
            <w:pPr>
              <w:pStyle w:val="Compact"/>
              <w:jc w:val="left"/>
            </w:pPr>
            <w:r>
              <w:t xml:space="preserve">VAT (18% — applicable in Senegal)</w:t>
            </w:r>
          </w:p>
        </w:tc>
        <w:tc>
          <w:tcPr/>
          <w:p>
            <w:pPr>
              <w:pStyle w:val="Compact"/>
              <w:jc w:val="left"/>
            </w:pPr>
            <w:r>
              <w:t xml:space="preserve">1,593,000 FCFA</w:t>
            </w:r>
          </w:p>
        </w:tc>
      </w:tr>
      <w:tr>
        <w:tc>
          <w:tcPr>
            <w:gridSpan w:val="2"/>
          </w:tcPr>
          <w:p>
            <w:pPr>
              <w:pStyle w:val="Compact"/>
              <w:jc w:val="left"/>
            </w:pPr>
            <w:r>
              <w:t xml:space="preserve">GRAND TOTAL</w:t>
            </w:r>
          </w:p>
        </w:tc>
        <w:tc>
          <w:tcPr/>
          <w:p>
            <w:pPr>
              <w:pStyle w:val="Compact"/>
              <w:jc w:val="left"/>
            </w:pPr>
            <w:r>
              <w:t xml:space="preserve">10,443,000 FCFA</w:t>
            </w:r>
          </w:p>
        </w:tc>
      </w:tr>
    </w:tbl>
    <w:p>
      <w:pPr>
        <w:pStyle w:val="BodyText"/>
      </w:pPr>
      <w:r>
        <w:rPr>
          <w:bCs/>
          <w:b/>
        </w:rPr>
        <w:t xml:space="preserve">Note:</w:t>
      </w:r>
      <w:r>
        <w:t xml:space="preserve"> </w:t>
      </w:r>
      <w:r>
        <w:t xml:space="preserve">This Quotation Estimate is a good-faith estimate based on the information available at the time of drafting. Should the scope of the legal matter expand beyond what is described herein, the Lawyer reserves the right to issue a supplementary Quotation Estimate for the additional services. All fees are quoted in West African CFA Francs (FCFA) and are payable in accordance with the payment schedule set out below.</w:t>
      </w:r>
    </w:p>
    <w:bookmarkEnd w:id="25"/>
    <w:bookmarkStart w:id="26" w:name="payment-terms-and-schedule"/>
    <w:p>
      <w:pPr>
        <w:pStyle w:val="Heading2"/>
      </w:pPr>
      <w:r>
        <w:t xml:space="preserve">4. Payment Terms and Schedule</w:t>
      </w:r>
    </w:p>
    <w:p>
      <w:pPr>
        <w:pStyle w:val="FirstParagraph"/>
      </w:pPr>
      <w:r>
        <w:rPr>
          <w:bCs/>
          <w:b/>
        </w:rPr>
        <w:t xml:space="preserve">4.1</w:t>
      </w:r>
      <w:r>
        <w:t xml:space="preserve"> </w:t>
      </w:r>
      <w:r>
        <w:t xml:space="preserve">A non-refundable retainer fee equivalent to thirty percent (30%) of the total estimated fee, amounting to 3,132,900 FCFA, shall be due and payable within five (5) business days of the Client's written acceptance of this Quotation Estimate.</w:t>
      </w:r>
    </w:p>
    <w:p>
      <w:pPr>
        <w:pStyle w:val="BodyText"/>
      </w:pPr>
      <w:r>
        <w:rPr>
          <w:bCs/>
          <w:b/>
        </w:rPr>
        <w:t xml:space="preserve">4.2</w:t>
      </w:r>
      <w:r>
        <w:t xml:space="preserve"> </w:t>
      </w:r>
      <w:r>
        <w:t xml:space="preserve">The remaining balance shall be invoiced in monthly installments at the end of each calendar month of the engagement period, with payment due within fifteen (15) days of the invoice date.</w:t>
      </w:r>
    </w:p>
    <w:p>
      <w:pPr>
        <w:pStyle w:val="BodyText"/>
      </w:pPr>
      <w:r>
        <w:rPr>
          <w:bCs/>
          <w:b/>
        </w:rPr>
        <w:t xml:space="preserve">4.3</w:t>
      </w:r>
      <w:r>
        <w:t xml:space="preserve"> </w:t>
      </w:r>
      <w:r>
        <w:t xml:space="preserve">All payments shall be made by bank transfer to the firm's designated account at the Banque Atlantique Sénégal, Dakar, or by certified cheque payable to Me. Amadou Diallo &amp; Associés.</w:t>
      </w:r>
    </w:p>
    <w:p>
      <w:pPr>
        <w:pStyle w:val="BodyText"/>
      </w:pPr>
      <w:r>
        <w:rPr>
          <w:bCs/>
          <w:b/>
        </w:rPr>
        <w:t xml:space="preserve">4.4</w:t>
      </w:r>
      <w:r>
        <w:t xml:space="preserve"> </w:t>
      </w:r>
      <w:r>
        <w:t xml:space="preserve">Late payments shall attract interest at the rate of 1.5% per month, in accordance with the provisions of the Senegalese Civil Code.</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days from the date of issue. Upon expiry, the fees and terms set forth herein may be subject to revision.</w:t>
      </w:r>
    </w:p>
    <w:p>
      <w:pPr>
        <w:pStyle w:val="BodyText"/>
      </w:pPr>
      <w:r>
        <w:rPr>
          <w:bCs/>
          <w:b/>
        </w:rPr>
        <w:t xml:space="preserve">5.2</w:t>
      </w:r>
      <w:r>
        <w:t xml:space="preserve"> </w:t>
      </w:r>
      <w:r>
        <w:t xml:space="preserve">The Lawyer shall maintain professional confidentiality in accordance with the Code de Déontologie des Avocats du Sénégal and shall not disclose any information pertaining to the Client's affairs without prior written consent.</w:t>
      </w:r>
    </w:p>
    <w:p>
      <w:pPr>
        <w:pStyle w:val="BodyText"/>
      </w:pPr>
      <w:r>
        <w:rPr>
          <w:bCs/>
          <w:b/>
        </w:rPr>
        <w:t xml:space="preserve">5.3</w:t>
      </w:r>
      <w:r>
        <w:t xml:space="preserve"> </w:t>
      </w:r>
      <w:r>
        <w:t xml:space="preserve">The engagement is governed by the laws of the Republic of Senegal. Any dispute arising from this Quotation Estimate or the engagement it contemplates shall be submitted to the exclusive jurisdiction of the Tribunal de Commerce de Dakar.</w:t>
      </w:r>
    </w:p>
    <w:p>
      <w:pPr>
        <w:pStyle w:val="BodyText"/>
      </w:pPr>
      <w:r>
        <w:rPr>
          <w:bCs/>
          <w:b/>
        </w:rPr>
        <w:t xml:space="preserve">5.4</w:t>
      </w:r>
      <w:r>
        <w:t xml:space="preserve"> </w:t>
      </w:r>
      <w:r>
        <w:t xml:space="preserve">The Client acknowledges that the fees quoted in this Quotation Estimate are estimates and that the final amount may vary depending on the complexity and duration of the legal proceedings. The Lawyer shall provide a detailed account of all time spent and costs incurred at the conclusion of the engagement.</w:t>
      </w:r>
    </w:p>
    <w:p>
      <w:pPr>
        <w:pStyle w:val="BodyText"/>
      </w:pPr>
      <w:r>
        <w:rPr>
          <w:bCs/>
          <w:b/>
        </w:rPr>
        <w:t xml:space="preserve">5.5</w:t>
      </w:r>
      <w:r>
        <w:t xml:space="preserve"> </w:t>
      </w:r>
      <w:r>
        <w:t xml:space="preserve">This Quotation Estimate does not constitute a guarantee of any particular outcome in litigation or regulatory proceedings. The Lawyer shall exercise all due diligence and professional competence in the performance of the services described herein.</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and agrees to the terms, conditions, and fee structure set forth herein. The engagement of the Lawyer shall commence upon receipt of the initial retainer payment.</w:t>
      </w:r>
    </w:p>
    <w:p>
      <w:pPr>
        <w:pStyle w:val="BodyText"/>
      </w:pPr>
      <w:r>
        <w:rPr>
          <w:bCs/>
          <w:b/>
        </w:rPr>
        <w:t xml:space="preserve">For and on behalf of the Law Firm:</w:t>
      </w:r>
    </w:p>
    <w:p>
      <w:pPr>
        <w:pStyle w:val="BodyText"/>
      </w:pPr>
      <w:r>
        <w:t xml:space="preserve">Me. Amadou Diallo</w:t>
      </w:r>
    </w:p>
    <w:p>
      <w:pPr>
        <w:pStyle w:val="BodyText"/>
      </w:pPr>
      <w:r>
        <w:t xml:space="preserve">Avocat à la Cour — Bar of Dakar, Senegal</w:t>
      </w:r>
    </w:p>
    <w:p>
      <w:pPr>
        <w:pStyle w:val="BodyText"/>
      </w:pPr>
      <w:r>
        <w:t xml:space="preserve">Signature &amp; Date</w:t>
      </w:r>
    </w:p>
    <w:p>
      <w:pPr>
        <w:pStyle w:val="BodyText"/>
      </w:pPr>
      <w:r>
        <w:rPr>
          <w:bCs/>
          <w:b/>
        </w:rPr>
        <w:t xml:space="preserve">For and on behalf of the Client:</w:t>
      </w:r>
    </w:p>
    <w:p>
      <w:pPr>
        <w:pStyle w:val="BodyText"/>
      </w:pPr>
      <w:r>
        <w:t xml:space="preserve">Mr. Jean-Pierre Ndiaye</w:t>
      </w:r>
    </w:p>
    <w:p>
      <w:pPr>
        <w:pStyle w:val="BodyText"/>
      </w:pPr>
      <w:r>
        <w:t xml:space="preserve">Directeur Général — Société Commerciale du Sahel SARL</w:t>
      </w:r>
    </w:p>
    <w:p>
      <w:pPr>
        <w:pStyle w:val="BodyText"/>
      </w:pPr>
      <w:r>
        <w:t xml:space="preserve">Signature &amp; Date</w:t>
      </w:r>
    </w:p>
    <w:p>
      <w:pPr>
        <w:pStyle w:val="BodyText"/>
      </w:pPr>
      <w:r>
        <w:t xml:space="preserve">Quotation Estimate QE-2025-DAK-0047 — Issued in Dakar, Senegal — 14 June 2025</w:t>
      </w:r>
    </w:p>
    <w:p>
      <w:pPr>
        <w:pStyle w:val="BodyText"/>
      </w:pPr>
      <w:r>
        <w:t xml:space="preserve">Me. Amadou Diallo &amp; Associés | 12, Boulevard du Général De Gaulle, Dakar Plateau, Dakar, Sénégal</w:t>
      </w:r>
    </w:p>
    <w:p>
      <w:pPr>
        <w:pStyle w:val="BodyText"/>
      </w:pPr>
      <w:r>
        <w:t xml:space="preserve">This document is confidential and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Dakar, Senegal</dc:title>
  <dc:creator/>
  <dc:language>en</dc:language>
  <cp:keywords/>
  <dcterms:created xsi:type="dcterms:W3CDTF">2026-10-10T06:24:23Z</dcterms:created>
  <dcterms:modified xsi:type="dcterms:W3CDTF">2026-10-10T06:24:23Z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