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Madrid,</w:t>
      </w:r>
      <w:r>
        <w:t xml:space="preserve"> </w:t>
      </w:r>
      <w:r>
        <w:t xml:space="preserve">Spain</w:t>
      </w:r>
    </w:p>
    <w:bookmarkStart w:id="21" w:name="quotation-estimate"/>
    <w:p>
      <w:pPr>
        <w:pStyle w:val="Heading1"/>
      </w:pPr>
      <w:r>
        <w:t xml:space="preserve">QUOTATION ESTIMATE</w:t>
      </w:r>
    </w:p>
    <w:bookmarkStart w:id="20" w:name="professional-legal-services-madrid-spain"/>
    <w:p>
      <w:pPr>
        <w:pStyle w:val="Heading2"/>
      </w:pPr>
      <w:r>
        <w:t xml:space="preserve">Professional Legal Services — Madrid, Spain</w:t>
      </w:r>
    </w:p>
    <w:p>
      <w:pPr>
        <w:pStyle w:val="FirstParagraph"/>
      </w:pPr>
      <w:r>
        <w:t xml:space="preserve">Ref: QTE-2025-MAD-0472</w:t>
      </w:r>
    </w:p>
    <w:bookmarkEnd w:id="20"/>
    <w:bookmarkEnd w:id="21"/>
    <w:p>
      <w:pPr>
        <w:pStyle w:val="BodyText"/>
      </w:pPr>
      <w:r>
        <w:rPr>
          <w:bCs/>
          <w:b/>
        </w:rPr>
        <w:t xml:space="preserve">Law Firm:</w:t>
      </w:r>
      <w:r>
        <w:t xml:space="preserve"> </w:t>
      </w:r>
      <w:r>
        <w:t xml:space="preserve">Estudio Jurídico García &amp; Asociados S.L.</w:t>
      </w:r>
      <w:r>
        <w:br/>
      </w:r>
      <w:r>
        <w:rPr>
          <w:bCs/>
          <w:b/>
        </w:rPr>
        <w:t xml:space="preserve">Address:</w:t>
      </w:r>
      <w:r>
        <w:t xml:space="preserve"> </w:t>
      </w:r>
      <w:r>
        <w:t xml:space="preserve">Calle de Serrano 45, 3ºB, 28001 Madrid, Spain</w:t>
      </w:r>
      <w:r>
        <w:br/>
      </w:r>
      <w:r>
        <w:rPr>
          <w:bCs/>
          <w:b/>
        </w:rPr>
        <w:t xml:space="preserve">Telephone:</w:t>
      </w:r>
      <w:r>
        <w:t xml:space="preserve"> </w:t>
      </w:r>
      <w:r>
        <w:t xml:space="preserve">+34 915 234 567</w:t>
      </w:r>
      <w:r>
        <w:br/>
      </w:r>
      <w:r>
        <w:rPr>
          <w:bCs/>
          <w:b/>
        </w:rPr>
        <w:t xml:space="preserve">Email:</w:t>
      </w:r>
      <w:r>
        <w:t xml:space="preserve"> </w:t>
      </w:r>
      <w:r>
        <w:t xml:space="preserve">info@garcia-asociados.es</w:t>
      </w:r>
      <w:r>
        <w:br/>
      </w:r>
      <w:r>
        <w:rPr>
          <w:bCs/>
          <w:b/>
        </w:rPr>
        <w:t xml:space="preserve">ICV (Colegiado):</w:t>
      </w:r>
      <w:r>
        <w:t xml:space="preserve"> </w:t>
      </w:r>
      <w:r>
        <w:t xml:space="preserve">123.456 (Ilustre Colegio de la Abogacía de Madrid)</w:t>
      </w:r>
    </w:p>
    <w:p>
      <w:pPr>
        <w:pStyle w:val="BodyText"/>
      </w:pP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Quotation No.:</w:t>
      </w:r>
      <w:r>
        <w:t xml:space="preserve"> </w:t>
      </w:r>
      <w:r>
        <w:t xml:space="preserve">QTE-2025-MAD-0472</w:t>
      </w:r>
      <w:r>
        <w:br/>
      </w:r>
      <w:r>
        <w:rPr>
          <w:bCs/>
          <w:b/>
        </w:rPr>
        <w:t xml:space="preserve">Prepared By:</w:t>
      </w:r>
      <w:r>
        <w:t xml:space="preserve"> </w:t>
      </w:r>
      <w:r>
        <w:t xml:space="preserve">Abogado D. Ricardo García Mendoza</w:t>
      </w:r>
    </w:p>
    <w:bookmarkStart w:id="22" w:name="client-information"/>
    <w:p>
      <w:pPr>
        <w:pStyle w:val="Heading3"/>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 / Entity</w:t>
            </w:r>
          </w:p>
        </w:tc>
        <w:tc>
          <w:tcPr/>
          <w:p>
            <w:pPr>
              <w:pStyle w:val="Compact"/>
              <w:jc w:val="left"/>
            </w:pPr>
            <w:r>
              <w:t xml:space="preserve">Doña María Elena Rodríguez Fernández / Inversiones del Norte S.L.</w:t>
            </w:r>
          </w:p>
        </w:tc>
      </w:tr>
      <w:tr>
        <w:tc>
          <w:tcPr/>
          <w:p>
            <w:pPr>
              <w:pStyle w:val="Compact"/>
              <w:jc w:val="left"/>
            </w:pPr>
            <w:r>
              <w:t xml:space="preserve">NIF / CIF</w:t>
            </w:r>
          </w:p>
        </w:tc>
        <w:tc>
          <w:tcPr/>
          <w:p>
            <w:pPr>
              <w:pStyle w:val="Compact"/>
              <w:jc w:val="left"/>
            </w:pPr>
            <w:r>
              <w:t xml:space="preserve">12.345.678-Z / B-28009876</w:t>
            </w:r>
          </w:p>
        </w:tc>
      </w:tr>
      <w:tr>
        <w:tc>
          <w:tcPr/>
          <w:p>
            <w:pPr>
              <w:pStyle w:val="Compact"/>
              <w:jc w:val="left"/>
            </w:pPr>
            <w:r>
              <w:t xml:space="preserve">Address</w:t>
            </w:r>
          </w:p>
        </w:tc>
        <w:tc>
          <w:tcPr/>
          <w:p>
            <w:pPr>
              <w:pStyle w:val="Compact"/>
              <w:jc w:val="left"/>
            </w:pPr>
            <w:r>
              <w:t xml:space="preserve">Avenida de América 112, 5ºC, 28020 Madrid, Spain</w:t>
            </w:r>
          </w:p>
        </w:tc>
      </w:tr>
      <w:tr>
        <w:tc>
          <w:tcPr/>
          <w:p>
            <w:pPr>
              <w:pStyle w:val="Compact"/>
              <w:jc w:val="left"/>
            </w:pPr>
            <w:r>
              <w:t xml:space="preserve">Contact Email</w:t>
            </w:r>
          </w:p>
        </w:tc>
        <w:tc>
          <w:tcPr/>
          <w:p>
            <w:pPr>
              <w:pStyle w:val="Compact"/>
              <w:jc w:val="left"/>
            </w:pPr>
            <w:r>
              <w:t xml:space="preserve">m.rodriguez@email.es</w:t>
            </w:r>
          </w:p>
        </w:tc>
      </w:tr>
      <w:tr>
        <w:tc>
          <w:tcPr/>
          <w:p>
            <w:pPr>
              <w:pStyle w:val="Compact"/>
              <w:jc w:val="left"/>
            </w:pPr>
            <w:r>
              <w:t xml:space="preserve">Phone</w:t>
            </w:r>
          </w:p>
        </w:tc>
        <w:tc>
          <w:tcPr/>
          <w:p>
            <w:pPr>
              <w:pStyle w:val="Compact"/>
              <w:jc w:val="left"/>
            </w:pPr>
            <w:r>
              <w:t xml:space="preserve">+34 612 345 678</w:t>
            </w:r>
          </w:p>
        </w:tc>
      </w:tr>
    </w:tbl>
    <w:bookmarkEnd w:id="22"/>
    <w:bookmarkStart w:id="23" w:name="X24e7dbe09b6314ff85fffa1342e612757954600"/>
    <w:p>
      <w:pPr>
        <w:pStyle w:val="Heading3"/>
      </w:pPr>
      <w:r>
        <w:t xml:space="preserve">2. Scope of Legal Services (Lawyer Engagement)</w:t>
      </w:r>
    </w:p>
    <w:p>
      <w:pPr>
        <w:pStyle w:val="FirstParagraph"/>
      </w:pPr>
      <w:r>
        <w:t xml:space="preserve">This Quotation Estimate is issued by the undersigned Lawyer, a duly registered member of the Ilustre Colegio de la Abogacía de Madrid (ICAM), in accordance with the Spanish Lawyers' Statute (Estatuto General de la Abogacía, Ley 2/1974) and the applicable fee regulations of the Madrid Bar Association. The following professional legal services are proposed for the client in connection with the matter described below:</w:t>
      </w:r>
    </w:p>
    <w:p>
      <w:pPr>
        <w:pStyle w:val="BodyText"/>
      </w:pPr>
      <w:r>
        <w:rPr>
          <w:bCs/>
          <w:b/>
        </w:rPr>
        <w:t xml:space="preserve">Matter Description:</w:t>
      </w:r>
      <w:r>
        <w:t xml:space="preserve"> </w:t>
      </w:r>
      <w:r>
        <w:t xml:space="preserve">Representation and legal defence of the client in a commercial contract dispute before the Juzgado de Primera Instancia No. 14 de Madrid, involving a breach of a supply agreement with a third-party vendor. The matter includes pre-litigation negotiation, drafting of the statement of claim (escrito de demanda), full trial representation, and potential appeal before the Audiencia Provincial de Madrid.</w:t>
      </w:r>
    </w:p>
    <w:bookmarkEnd w:id="23"/>
    <w:bookmarkStart w:id="24" w:name="fee-breakdown-quotation-estimate-details"/>
    <w:p>
      <w:pPr>
        <w:pStyle w:val="Heading3"/>
      </w:pPr>
      <w:r>
        <w:t xml:space="preserve">3. Fee Breakdown &amp; Quotation Estimate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Legal Service</w:t>
            </w:r>
          </w:p>
        </w:tc>
        <w:tc>
          <w:tcPr/>
          <w:p>
            <w:pPr>
              <w:pStyle w:val="Compact"/>
              <w:jc w:val="left"/>
            </w:pPr>
            <w:r>
              <w:t xml:space="preserve">Estimated Hours</w:t>
            </w:r>
          </w:p>
        </w:tc>
        <w:tc>
          <w:tcPr/>
          <w:p>
            <w:pPr>
              <w:pStyle w:val="Compact"/>
              <w:jc w:val="left"/>
            </w:pPr>
            <w:r>
              <w:t xml:space="preserve">Hourly Rate (EUR)</w:t>
            </w:r>
          </w:p>
        </w:tc>
        <w:tc>
          <w:tcPr/>
          <w:p>
            <w:pPr>
              <w:pStyle w:val="Compact"/>
              <w:jc w:val="left"/>
            </w:pPr>
            <w:r>
              <w:t xml:space="preserve">Estimated Cost (EUR)</w:t>
            </w:r>
          </w:p>
        </w:tc>
      </w:tr>
      <w:tr>
        <w:tc>
          <w:tcPr/>
          <w:p>
            <w:pPr>
              <w:pStyle w:val="Compact"/>
              <w:jc w:val="left"/>
            </w:pPr>
            <w:r>
              <w:t xml:space="preserve">1</w:t>
            </w:r>
          </w:p>
        </w:tc>
        <w:tc>
          <w:tcPr/>
          <w:p>
            <w:pPr>
              <w:pStyle w:val="Compact"/>
              <w:jc w:val="left"/>
            </w:pPr>
            <w:r>
              <w:t xml:space="preserve">Initial consultation, case assessment, and legal strategy formulation in Madrid</w:t>
            </w:r>
          </w:p>
        </w:tc>
        <w:tc>
          <w:tcPr/>
          <w:p>
            <w:pPr>
              <w:pStyle w:val="Compact"/>
              <w:jc w:val="left"/>
            </w:pPr>
            <w:r>
              <w:t xml:space="preserve">3</w:t>
            </w:r>
          </w:p>
        </w:tc>
        <w:tc>
          <w:tcPr/>
          <w:p>
            <w:pPr>
              <w:pStyle w:val="Compact"/>
              <w:jc w:val="left"/>
            </w:pPr>
            <w:r>
              <w:t xml:space="preserve">180.00</w:t>
            </w:r>
          </w:p>
        </w:tc>
        <w:tc>
          <w:tcPr/>
          <w:p>
            <w:pPr>
              <w:pStyle w:val="Compact"/>
              <w:jc w:val="left"/>
            </w:pPr>
            <w:r>
              <w:t xml:space="preserve">540.00</w:t>
            </w:r>
          </w:p>
        </w:tc>
      </w:tr>
      <w:tr>
        <w:tc>
          <w:tcPr/>
          <w:p>
            <w:pPr>
              <w:pStyle w:val="Compact"/>
              <w:jc w:val="left"/>
            </w:pPr>
            <w:r>
              <w:t xml:space="preserve">2</w:t>
            </w:r>
          </w:p>
        </w:tc>
        <w:tc>
          <w:tcPr/>
          <w:p>
            <w:pPr>
              <w:pStyle w:val="Compact"/>
              <w:jc w:val="left"/>
            </w:pPr>
            <w:r>
              <w:t xml:space="preserve">Pre-litigation: drafting and sending formal demand letter (burofax) to opposing party</w:t>
            </w:r>
          </w:p>
        </w:tc>
        <w:tc>
          <w:tcPr/>
          <w:p>
            <w:pPr>
              <w:pStyle w:val="Compact"/>
              <w:jc w:val="left"/>
            </w:pPr>
            <w:r>
              <w:t xml:space="preserve">4</w:t>
            </w:r>
          </w:p>
        </w:tc>
        <w:tc>
          <w:tcPr/>
          <w:p>
            <w:pPr>
              <w:pStyle w:val="Compact"/>
              <w:jc w:val="left"/>
            </w:pPr>
            <w:r>
              <w:t xml:space="preserve">180.00</w:t>
            </w:r>
          </w:p>
        </w:tc>
        <w:tc>
          <w:tcPr/>
          <w:p>
            <w:pPr>
              <w:pStyle w:val="Compact"/>
              <w:jc w:val="left"/>
            </w:pPr>
            <w:r>
              <w:t xml:space="preserve">720.00</w:t>
            </w:r>
          </w:p>
        </w:tc>
      </w:tr>
      <w:tr>
        <w:tc>
          <w:tcPr/>
          <w:p>
            <w:pPr>
              <w:pStyle w:val="Compact"/>
              <w:jc w:val="left"/>
            </w:pPr>
            <w:r>
              <w:t xml:space="preserve">3</w:t>
            </w:r>
          </w:p>
        </w:tc>
        <w:tc>
          <w:tcPr/>
          <w:p>
            <w:pPr>
              <w:pStyle w:val="Compact"/>
              <w:jc w:val="left"/>
            </w:pPr>
            <w:r>
              <w:t xml:space="preserve">Preparation and filing of the statement of claim (escrito de demanda) at the Juzgado de Primera Instancia, Madrid</w:t>
            </w:r>
          </w:p>
        </w:tc>
        <w:tc>
          <w:tcPr/>
          <w:p>
            <w:pPr>
              <w:pStyle w:val="Compact"/>
              <w:jc w:val="left"/>
            </w:pPr>
            <w:r>
              <w:t xml:space="preserve">12</w:t>
            </w:r>
          </w:p>
        </w:tc>
        <w:tc>
          <w:tcPr/>
          <w:p>
            <w:pPr>
              <w:pStyle w:val="Compact"/>
              <w:jc w:val="left"/>
            </w:pPr>
            <w:r>
              <w:t xml:space="preserve">180.00</w:t>
            </w:r>
          </w:p>
        </w:tc>
        <w:tc>
          <w:tcPr/>
          <w:p>
            <w:pPr>
              <w:pStyle w:val="Compact"/>
              <w:jc w:val="left"/>
            </w:pPr>
            <w:r>
              <w:t xml:space="preserve">2,160.00</w:t>
            </w:r>
          </w:p>
        </w:tc>
      </w:tr>
      <w:tr>
        <w:tc>
          <w:tcPr/>
          <w:p>
            <w:pPr>
              <w:pStyle w:val="Compact"/>
              <w:jc w:val="left"/>
            </w:pPr>
            <w:r>
              <w:t xml:space="preserve">4</w:t>
            </w:r>
          </w:p>
        </w:tc>
        <w:tc>
          <w:tcPr/>
          <w:p>
            <w:pPr>
              <w:pStyle w:val="Compact"/>
              <w:jc w:val="left"/>
            </w:pPr>
            <w:r>
              <w:t xml:space="preserve">Representation at all court hearings, evidence sessions, and oral arguments in Madrid</w:t>
            </w:r>
          </w:p>
        </w:tc>
        <w:tc>
          <w:tcPr/>
          <w:p>
            <w:pPr>
              <w:pStyle w:val="Compact"/>
              <w:jc w:val="left"/>
            </w:pPr>
            <w:r>
              <w:t xml:space="preserve">20</w:t>
            </w:r>
          </w:p>
        </w:tc>
        <w:tc>
          <w:tcPr/>
          <w:p>
            <w:pPr>
              <w:pStyle w:val="Compact"/>
              <w:jc w:val="left"/>
            </w:pPr>
            <w:r>
              <w:t xml:space="preserve">180.00</w:t>
            </w:r>
          </w:p>
        </w:tc>
        <w:tc>
          <w:tcPr/>
          <w:p>
            <w:pPr>
              <w:pStyle w:val="Compact"/>
              <w:jc w:val="left"/>
            </w:pPr>
            <w:r>
              <w:t xml:space="preserve">3,600.00</w:t>
            </w:r>
          </w:p>
        </w:tc>
      </w:tr>
      <w:tr>
        <w:tc>
          <w:tcPr/>
          <w:p>
            <w:pPr>
              <w:pStyle w:val="Compact"/>
              <w:jc w:val="left"/>
            </w:pPr>
            <w:r>
              <w:t xml:space="preserve">5</w:t>
            </w:r>
          </w:p>
        </w:tc>
        <w:tc>
          <w:tcPr/>
          <w:p>
            <w:pPr>
              <w:pStyle w:val="Compact"/>
              <w:jc w:val="left"/>
            </w:pPr>
            <w:r>
              <w:t xml:space="preserve">Drafting of closing submissions (alegaciones) and post-trial legal memoranda</w:t>
            </w:r>
          </w:p>
        </w:tc>
        <w:tc>
          <w:tcPr/>
          <w:p>
            <w:pPr>
              <w:pStyle w:val="Compact"/>
              <w:jc w:val="left"/>
            </w:pPr>
            <w:r>
              <w:t xml:space="preserve">8</w:t>
            </w:r>
          </w:p>
        </w:tc>
        <w:tc>
          <w:tcPr/>
          <w:p>
            <w:pPr>
              <w:pStyle w:val="Compact"/>
              <w:jc w:val="left"/>
            </w:pPr>
            <w:r>
              <w:t xml:space="preserve">180.00</w:t>
            </w:r>
          </w:p>
        </w:tc>
        <w:tc>
          <w:tcPr/>
          <w:p>
            <w:pPr>
              <w:pStyle w:val="Compact"/>
              <w:jc w:val="left"/>
            </w:pPr>
            <w:r>
              <w:t xml:space="preserve">1,440.00</w:t>
            </w:r>
          </w:p>
        </w:tc>
      </w:tr>
      <w:tr>
        <w:tc>
          <w:tcPr/>
          <w:p>
            <w:pPr>
              <w:pStyle w:val="Compact"/>
              <w:jc w:val="left"/>
            </w:pPr>
            <w:r>
              <w:t xml:space="preserve">6</w:t>
            </w:r>
          </w:p>
        </w:tc>
        <w:tc>
          <w:tcPr/>
          <w:p>
            <w:pPr>
              <w:pStyle w:val="Compact"/>
              <w:jc w:val="left"/>
            </w:pPr>
            <w:r>
              <w:t xml:space="preserve">Contingent: preparation and filing of appeal (recurso de apelación) before the Audiencia Provincial de Madrid</w:t>
            </w:r>
          </w:p>
        </w:tc>
        <w:tc>
          <w:tcPr/>
          <w:p>
            <w:pPr>
              <w:pStyle w:val="Compact"/>
              <w:jc w:val="left"/>
            </w:pPr>
            <w:r>
              <w:t xml:space="preserve">15</w:t>
            </w:r>
          </w:p>
        </w:tc>
        <w:tc>
          <w:tcPr/>
          <w:p>
            <w:pPr>
              <w:pStyle w:val="Compact"/>
              <w:jc w:val="left"/>
            </w:pPr>
            <w:r>
              <w:t xml:space="preserve">180.00</w:t>
            </w:r>
          </w:p>
        </w:tc>
        <w:tc>
          <w:tcPr/>
          <w:p>
            <w:pPr>
              <w:pStyle w:val="Compact"/>
              <w:jc w:val="left"/>
            </w:pPr>
            <w:r>
              <w:t xml:space="preserve">2,700.00</w:t>
            </w:r>
          </w:p>
        </w:tc>
      </w:tr>
      <w:tr>
        <w:tc>
          <w:tcPr/>
          <w:p>
            <w:pPr>
              <w:pStyle w:val="Compact"/>
              <w:jc w:val="left"/>
            </w:pPr>
            <w:r>
              <w:t xml:space="preserve">7</w:t>
            </w:r>
          </w:p>
        </w:tc>
        <w:tc>
          <w:tcPr/>
          <w:p>
            <w:pPr>
              <w:pStyle w:val="Compact"/>
              <w:jc w:val="left"/>
            </w:pPr>
            <w:r>
              <w:t xml:space="preserve">Administrative costs: court fees (tasas judiciales), notary, registrar, and document service charges in the Community of Madrid</w:t>
            </w:r>
          </w:p>
        </w:tc>
        <w:tc>
          <w:tcPr/>
          <w:p>
            <w:pPr>
              <w:pStyle w:val="Compact"/>
              <w:jc w:val="left"/>
            </w:pPr>
            <w:r>
              <w:t xml:space="preserve">—</w:t>
            </w:r>
          </w:p>
        </w:tc>
        <w:tc>
          <w:tcPr/>
          <w:p>
            <w:pPr>
              <w:pStyle w:val="Compact"/>
              <w:jc w:val="left"/>
            </w:pPr>
            <w:r>
              <w:t xml:space="preserve">—</w:t>
            </w:r>
          </w:p>
        </w:tc>
        <w:tc>
          <w:tcPr/>
          <w:p>
            <w:pPr>
              <w:pStyle w:val="Compact"/>
              <w:jc w:val="left"/>
            </w:pPr>
            <w:r>
              <w:t xml:space="preserve">850.00</w:t>
            </w:r>
          </w:p>
        </w:tc>
      </w:tr>
      <w:tr>
        <w:tc>
          <w:tcPr/>
          <w:p>
            <w:pPr>
              <w:pStyle w:val="Compact"/>
              <w:jc w:val="left"/>
            </w:pPr>
            <w:r>
              <w:t xml:space="preserve">8</w:t>
            </w:r>
          </w:p>
        </w:tc>
        <w:tc>
          <w:tcPr/>
          <w:p>
            <w:pPr>
              <w:pStyle w:val="Compact"/>
              <w:jc w:val="left"/>
            </w:pPr>
            <w:r>
              <w:t xml:space="preserve">Translation and certification of supporting documents (if required by the court)</w:t>
            </w:r>
          </w:p>
        </w:tc>
        <w:tc>
          <w:tcPr/>
          <w:p>
            <w:pPr>
              <w:pStyle w:val="Compact"/>
              <w:jc w:val="left"/>
            </w:pPr>
            <w:r>
              <w:t xml:space="preserve">3</w:t>
            </w:r>
          </w:p>
        </w:tc>
        <w:tc>
          <w:tcPr/>
          <w:p>
            <w:pPr>
              <w:pStyle w:val="Compact"/>
              <w:jc w:val="left"/>
            </w:pPr>
            <w:r>
              <w:t xml:space="preserve">180.00</w:t>
            </w:r>
          </w:p>
        </w:tc>
        <w:tc>
          <w:tcPr/>
          <w:p>
            <w:pPr>
              <w:pStyle w:val="Compact"/>
              <w:jc w:val="left"/>
            </w:pPr>
            <w:r>
              <w:t xml:space="preserve">540.00</w:t>
            </w:r>
          </w:p>
        </w:tc>
      </w:tr>
      <w:tr>
        <w:tc>
          <w:tcPr>
            <w:gridSpan w:val="4"/>
          </w:tcPr>
          <w:p>
            <w:pPr>
              <w:pStyle w:val="Compact"/>
              <w:jc w:val="right"/>
            </w:pPr>
            <w:r>
              <w:t xml:space="preserve">TOTAL ESTIMATED QUOTATION (excluding VAT / IVA)</w:t>
            </w:r>
          </w:p>
        </w:tc>
        <w:tc>
          <w:tcPr/>
          <w:p>
            <w:pPr>
              <w:pStyle w:val="Compact"/>
              <w:jc w:val="left"/>
            </w:pPr>
            <w:r>
              <w:t xml:space="preserve">12,550.00 EUR</w:t>
            </w:r>
          </w:p>
        </w:tc>
      </w:tr>
      <w:tr>
        <w:tc>
          <w:tcPr>
            <w:gridSpan w:val="4"/>
          </w:tcPr>
          <w:p>
            <w:pPr>
              <w:pStyle w:val="Compact"/>
              <w:jc w:val="right"/>
            </w:pPr>
            <w:r>
              <w:t xml:space="preserve">VAT (IVA) at 21% (applied in the Community of Madrid, Spain)</w:t>
            </w:r>
          </w:p>
        </w:tc>
        <w:tc>
          <w:tcPr/>
          <w:p>
            <w:pPr>
              <w:pStyle w:val="Compact"/>
              <w:jc w:val="left"/>
            </w:pPr>
            <w:r>
              <w:t xml:space="preserve">2,635.50 EUR</w:t>
            </w:r>
          </w:p>
        </w:tc>
      </w:tr>
      <w:tr>
        <w:tc>
          <w:tcPr>
            <w:gridSpan w:val="4"/>
          </w:tcPr>
          <w:p>
            <w:pPr>
              <w:pStyle w:val="Compact"/>
              <w:jc w:val="right"/>
            </w:pPr>
            <w:r>
              <w:t xml:space="preserve">GRAND TOTAL (including VAT)</w:t>
            </w:r>
          </w:p>
        </w:tc>
        <w:tc>
          <w:tcPr/>
          <w:p>
            <w:pPr>
              <w:pStyle w:val="Compact"/>
              <w:jc w:val="left"/>
            </w:pPr>
            <w:r>
              <w:t xml:space="preserve">15,185.50 EUR</w:t>
            </w:r>
          </w:p>
        </w:tc>
      </w:tr>
    </w:tbl>
    <w:bookmarkEnd w:id="24"/>
    <w:bookmarkStart w:id="25" w:name="payment-terms"/>
    <w:p>
      <w:pPr>
        <w:pStyle w:val="Heading3"/>
      </w:pPr>
      <w:r>
        <w:t xml:space="preserve">4. Payment Terms</w:t>
      </w:r>
    </w:p>
    <w:p>
      <w:pPr>
        <w:pStyle w:val="FirstParagraph"/>
      </w:pPr>
      <w:r>
        <w:t xml:space="preserve">The client shall make payment in accordance with the following schedule, as set forth in this Quotation Estimate:</w:t>
      </w:r>
    </w:p>
    <w:p>
      <w:pPr>
        <w:numPr>
          <w:ilvl w:val="0"/>
          <w:numId w:val="1001"/>
        </w:numPr>
        <w:pStyle w:val="Compact"/>
      </w:pPr>
      <w:r>
        <w:rPr>
          <w:bCs/>
          <w:b/>
        </w:rPr>
        <w:t xml:space="preserve">30% advance payment</w:t>
      </w:r>
      <w:r>
        <w:t xml:space="preserve"> </w:t>
      </w:r>
      <w:r>
        <w:t xml:space="preserve">(4,555.65 EUR incl. VAT) upon acceptance of this Quotation Estimate and execution of the retainer agreement (contrato de arrendamiento de servicios profesionales).</w:t>
      </w:r>
    </w:p>
    <w:p>
      <w:pPr>
        <w:numPr>
          <w:ilvl w:val="0"/>
          <w:numId w:val="1001"/>
        </w:numPr>
        <w:pStyle w:val="Compact"/>
      </w:pPr>
      <w:r>
        <w:rPr>
          <w:bCs/>
          <w:b/>
        </w:rPr>
        <w:t xml:space="preserve">40% interim payment</w:t>
      </w:r>
      <w:r>
        <w:t xml:space="preserve"> </w:t>
      </w:r>
      <w:r>
        <w:t xml:space="preserve">(6,074.20 EUR incl. VAT) upon filing of the statement of claim before the Madrid court.</w:t>
      </w:r>
    </w:p>
    <w:p>
      <w:pPr>
        <w:numPr>
          <w:ilvl w:val="0"/>
          <w:numId w:val="1001"/>
        </w:numPr>
        <w:pStyle w:val="Compact"/>
      </w:pPr>
      <w:r>
        <w:rPr>
          <w:bCs/>
          <w:b/>
        </w:rPr>
        <w:t xml:space="preserve">30% final payment</w:t>
      </w:r>
      <w:r>
        <w:t xml:space="preserve"> </w:t>
      </w:r>
      <w:r>
        <w:t xml:space="preserve">(4,555.65 EUR incl. VAT) upon conclusion of the proceedings or, if applicable, upon the finalisation of the appeal stage before the Audiencia Provincial de Madrid.</w:t>
      </w:r>
    </w:p>
    <w:p>
      <w:pPr>
        <w:pStyle w:val="FirstParagraph"/>
      </w:pPr>
      <w:r>
        <w:t xml:space="preserve">All payments shall be made by bank transfer to the firm's account at Banco Santander, ES91 0049 0001 5325 4709 1234, Madrid, Spain. Invoices will be issued in accordance with the Spanish Tax Agency (Agencia Tributaria) regulations.</w:t>
      </w:r>
    </w:p>
    <w:bookmarkEnd w:id="25"/>
    <w:bookmarkStart w:id="26" w:name="X985eb999f0cfcda5f1af1a675bf0b7c2e0a6c64"/>
    <w:p>
      <w:pPr>
        <w:pStyle w:val="Heading3"/>
      </w:pPr>
      <w:r>
        <w:t xml:space="preserve">5. Terms and Conditions of This Quotation Estimate</w:t>
      </w:r>
    </w:p>
    <w:p>
      <w:pPr>
        <w:numPr>
          <w:ilvl w:val="0"/>
          <w:numId w:val="1002"/>
        </w:numPr>
        <w:pStyle w:val="Compact"/>
      </w:pPr>
      <w:r>
        <w:t xml:space="preserve">This Quotation Estimate is valid for a period of thirty (30) calendar days from the date of issue. After this period, the Lawyer reserves the right to revise the fees based on prevailing market rates in Madrid.</w:t>
      </w:r>
    </w:p>
    <w:p>
      <w:pPr>
        <w:numPr>
          <w:ilvl w:val="0"/>
          <w:numId w:val="1002"/>
        </w:numPr>
        <w:pStyle w:val="Compact"/>
      </w:pPr>
      <w:r>
        <w:t xml:space="preserve">The estimated costs set out herein are good-faith projections based on the current scope of the matter. Should the complexity of the case increase materially (e.g., additional parties, cross-claims, or procedural complications), the Lawyer shall notify the client in writing and issue a revised Quotation Estimate prior to incurring additional costs exceeding 15% of the original estimate.</w:t>
      </w:r>
    </w:p>
    <w:p>
      <w:pPr>
        <w:numPr>
          <w:ilvl w:val="0"/>
          <w:numId w:val="1002"/>
        </w:numPr>
        <w:pStyle w:val="Compact"/>
      </w:pPr>
      <w:r>
        <w:t xml:space="preserve">This Quotation Estimate does not constitute a guarantee of outcome. The Lawyer shall act with the diligence and professional competence required under the Spanish Lawyers' Statute and the Code of Professional Conduct of the ICAM.</w:t>
      </w:r>
    </w:p>
    <w:p>
      <w:pPr>
        <w:numPr>
          <w:ilvl w:val="0"/>
          <w:numId w:val="1002"/>
        </w:numPr>
        <w:pStyle w:val="Compact"/>
      </w:pPr>
      <w:r>
        <w:t xml:space="preserve">All communications, pleadings, and legal documents shall be prepared in Spanish, the official language of the courts in Madrid and the Community of Madrid, in compliance with the Ley de Enjuiciamiento Civil (LEC) and applicable procedural norms.</w:t>
      </w:r>
    </w:p>
    <w:p>
      <w:pPr>
        <w:numPr>
          <w:ilvl w:val="0"/>
          <w:numId w:val="1002"/>
        </w:numPr>
        <w:pStyle w:val="Compact"/>
      </w:pPr>
      <w:r>
        <w:t xml:space="preserve">The client grants the Lawyer full power of attorney (procuración) to act on their behalf before all courts, administrative bodies, and third parties in Madrid and throughout the Kingdom of Spain as necessary for the resolution of the matter.</w:t>
      </w:r>
    </w:p>
    <w:p>
      <w:pPr>
        <w:numPr>
          <w:ilvl w:val="0"/>
          <w:numId w:val="1002"/>
        </w:numPr>
        <w:pStyle w:val="Compact"/>
      </w:pPr>
      <w:r>
        <w:t xml:space="preserve">Confidentiality: All information exchanged in connection with this engagement is subject to the attorney-client privilege (secreto profesional) as established in Article 5 of the Estatuto General de la Abogacía and the Spanish Constitution (Article 18).</w:t>
      </w:r>
    </w:p>
    <w:p>
      <w:pPr>
        <w:numPr>
          <w:ilvl w:val="0"/>
          <w:numId w:val="1002"/>
        </w:numPr>
        <w:pStyle w:val="Compact"/>
      </w:pPr>
      <w:r>
        <w:t xml:space="preserve">This Quotation Estimate is governed by and shall be interpreted in accordance with the laws of Spain. Any dispute arising from this estimate shall be submitted to the competent courts of Madrid, Spain, with express waiver of any other jurisdiction.</w:t>
      </w:r>
    </w:p>
    <w:p>
      <w:pPr>
        <w:numPr>
          <w:ilvl w:val="0"/>
          <w:numId w:val="1002"/>
        </w:numPr>
        <w:pStyle w:val="Compact"/>
      </w:pPr>
      <w:r>
        <w:t xml:space="preserve">The Lawyer shall comply with all applicable data protection regulations, including the EU General Data Protection Regulation (GDPR) and the Spanish Organic Law 3/2018 (LOPDGDD).</w:t>
      </w:r>
    </w:p>
    <w:bookmarkEnd w:id="26"/>
    <w:bookmarkStart w:id="27" w:name="acceptance"/>
    <w:p>
      <w:pPr>
        <w:pStyle w:val="Heading3"/>
      </w:pPr>
      <w:r>
        <w:t xml:space="preserve">6. Acceptance</w:t>
      </w:r>
    </w:p>
    <w:p>
      <w:pPr>
        <w:pStyle w:val="FirstParagraph"/>
      </w:pPr>
      <w:r>
        <w:t xml:space="preserve">By signing below, the client acknowledges receipt of this Quotation Estimate, accepts the proposed scope of legal services, the fee structure, and all terms and conditions set forth herein. The engagement of the Lawyer shall commence upon execution of this document and receipt of the advance payment.</w:t>
      </w:r>
    </w:p>
    <w:p>
      <w:pPr>
        <w:pStyle w:val="BodyText"/>
      </w:pPr>
      <w:r>
        <w:rPr>
          <w:bCs/>
          <w:b/>
        </w:rPr>
        <w:t xml:space="preserve">For the Law Firm (Lawyer)</w:t>
      </w:r>
      <w:r>
        <w:br/>
      </w:r>
      <w:r>
        <w:t xml:space="preserve">Abogado D. Ricardo García Mendoza</w:t>
      </w:r>
      <w:r>
        <w:br/>
      </w:r>
      <w:r>
        <w:t xml:space="preserve">ICAM No. 123.456</w:t>
      </w:r>
      <w:r>
        <w:br/>
      </w:r>
      <w:r>
        <w:t xml:space="preserve">Madrid, Spain</w:t>
      </w:r>
    </w:p>
    <w:p>
      <w:pPr>
        <w:pStyle w:val="BodyText"/>
      </w:pPr>
      <w:r>
        <w:rPr>
          <w:bCs/>
          <w:b/>
        </w:rPr>
        <w:t xml:space="preserve">For the Client</w:t>
      </w:r>
      <w:r>
        <w:br/>
      </w:r>
      <w:r>
        <w:t xml:space="preserve">Doña María Elena Rodríguez Fernández</w:t>
      </w:r>
      <w:r>
        <w:br/>
      </w:r>
      <w:r>
        <w:t xml:space="preserve">NIF: 12.345.678-Z</w:t>
      </w:r>
      <w:r>
        <w:br/>
      </w:r>
      <w:r>
        <w:t xml:space="preserve">Madrid, Spain</w:t>
      </w:r>
    </w:p>
    <w:p>
      <w:pPr>
        <w:pStyle w:val="BodyText"/>
      </w:pPr>
      <w:r>
        <w:t xml:space="preserve">Estudio Jurídico García &amp; Asociados S.L. — Calle de Serrano 45, 3ºB, 28001 Madrid, Spain</w:t>
      </w:r>
      <w:r>
        <w:br/>
      </w:r>
      <w:r>
        <w:t xml:space="preserve">Registered in the Registro Mercantil de Madrid, Tomo 12.345, Folio 678, Hoja M-987654</w:t>
      </w:r>
      <w:r>
        <w:br/>
      </w:r>
      <w:r>
        <w:t xml:space="preserve">This Quotation Estimate was prepared in Madrid, Spain, on 14 June 2025. © 2025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Madrid, Spain</dc:title>
  <dc:creator/>
  <dc:language>en</dc:language>
  <cp:keywords/>
  <dcterms:created xsi:type="dcterms:W3CDTF">2026-10-10T06:10:56Z</dcterms:created>
  <dcterms:modified xsi:type="dcterms:W3CDTF">2026-10-10T06:10:56Z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