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quotation-estimate"/>
    <w:p>
      <w:pPr>
        <w:pStyle w:val="Heading1"/>
      </w:pPr>
      <w:r>
        <w:t xml:space="preserve">QUOTATION ESTIMATE</w:t>
      </w:r>
    </w:p>
    <w:p>
      <w:pPr>
        <w:pStyle w:val="FirstParagraph"/>
      </w:pPr>
      <w:r>
        <w:t xml:space="preserve">Professional Legal Services — Thailand Bangkok</w:t>
      </w:r>
    </w:p>
    <w:p>
      <w:pPr>
        <w:pStyle w:val="BodyText"/>
      </w:pPr>
      <w:r>
        <w:t xml:space="preserve">Ref: QTE-BKK-2025-04782 | Issued under the Legal Services Act B.E. 2548 (2005)</w:t>
      </w:r>
    </w:p>
    <w:bookmarkEnd w:id="20"/>
    <w:bookmarkStart w:id="21" w:name="issued-by-lawyer-law-firm"/>
    <w:p>
      <w:pPr>
        <w:pStyle w:val="Heading3"/>
      </w:pPr>
      <w:r>
        <w:t xml:space="preserve">Issued By (Lawyer / Law Firm)</w:t>
      </w:r>
    </w:p>
    <w:p>
      <w:pPr>
        <w:pStyle w:val="FirstParagraph"/>
      </w:pPr>
      <w:r>
        <w:rPr>
          <w:bCs/>
          <w:b/>
        </w:rPr>
        <w:t xml:space="preserve">Siriporn &amp; Associates Legal Counsel</w:t>
      </w:r>
      <w:r>
        <w:br/>
      </w:r>
      <w:r>
        <w:t xml:space="preserve">42nd Floor, Sathorn Square Tower 1</w:t>
      </w:r>
      <w:r>
        <w:br/>
      </w:r>
      <w:r>
        <w:t xml:space="preserve">979 Rama IV Road, Surawong, Bangrak</w:t>
      </w:r>
      <w:r>
        <w:br/>
      </w:r>
      <w:r>
        <w:rPr>
          <w:bCs/>
          <w:b/>
        </w:rPr>
        <w:t xml:space="preserve">Thailand Bangkok</w:t>
      </w:r>
      <w:r>
        <w:t xml:space="preserve"> </w:t>
      </w:r>
      <w:r>
        <w:t xml:space="preserve">10500</w:t>
      </w:r>
      <w:r>
        <w:br/>
      </w:r>
      <w:r>
        <w:t xml:space="preserve">Tel: +66 (0) 2 678 4455</w:t>
      </w:r>
      <w:r>
        <w:br/>
      </w:r>
      <w:r>
        <w:t xml:space="preserve">Email: counsel@siripornlaw.co.th</w:t>
      </w:r>
      <w:r>
        <w:br/>
      </w:r>
      <w:r>
        <w:t xml:space="preserve">Bar Registration No. TH-2019-08834</w:t>
      </w:r>
    </w:p>
    <w:bookmarkEnd w:id="21"/>
    <w:bookmarkStart w:id="22" w:name="prepared-for-client"/>
    <w:p>
      <w:pPr>
        <w:pStyle w:val="Heading3"/>
      </w:pPr>
      <w:r>
        <w:t xml:space="preserve">Prepared For (Client)</w:t>
      </w:r>
    </w:p>
    <w:p>
      <w:pPr>
        <w:pStyle w:val="FirstParagraph"/>
      </w:pPr>
      <w:r>
        <w:rPr>
          <w:bCs/>
          <w:b/>
        </w:rPr>
        <w:t xml:space="preserve">Mr. James R. Whitfield</w:t>
      </w:r>
      <w:r>
        <w:br/>
      </w:r>
      <w:r>
        <w:t xml:space="preserve">Whitfield International Trading Co., Ltd.</w:t>
      </w:r>
      <w:r>
        <w:br/>
      </w:r>
      <w:r>
        <w:t xml:space="preserve">18th Floor, Emporium Tower</w:t>
      </w:r>
      <w:r>
        <w:br/>
      </w:r>
      <w:r>
        <w:t xml:space="preserve">622 Sukhumvit Road, Khlong Tan</w:t>
      </w:r>
      <w:r>
        <w:br/>
      </w:r>
      <w:r>
        <w:rPr>
          <w:bCs/>
          <w:b/>
        </w:rPr>
        <w:t xml:space="preserve">Thailand Bangkok</w:t>
      </w:r>
      <w:r>
        <w:t xml:space="preserve"> </w:t>
      </w:r>
      <w:r>
        <w:t xml:space="preserve">10110</w:t>
      </w:r>
      <w:r>
        <w:br/>
      </w:r>
      <w:r>
        <w:t xml:space="preserve">Tel: +66 (0) 89 555 1234</w:t>
      </w:r>
      <w:r>
        <w:br/>
      </w:r>
      <w:r>
        <w:t xml:space="preserve">Email: j.whitfield@witco-th.com</w:t>
      </w:r>
      <w:r>
        <w:br/>
      </w:r>
      <w:r>
        <w:t xml:space="preserve">Client File No. CF-2025-0312</w:t>
      </w:r>
    </w:p>
    <w:bookmarkEnd w:id="22"/>
    <w:p>
      <w:pPr>
        <w:pStyle w:val="BodyText"/>
      </w:pPr>
      <w:r>
        <w:rPr>
          <w:bCs/>
          <w:b/>
        </w:rPr>
        <w:t xml:space="preserve">Document Type:</w:t>
      </w:r>
      <w:r>
        <w:t xml:space="preserve"> </w:t>
      </w:r>
      <w:r>
        <w:t xml:space="preserve">Quotation Estimate for Legal Services</w:t>
      </w:r>
    </w:p>
    <w:p>
      <w:pPr>
        <w:pStyle w:val="BodyText"/>
      </w:pPr>
      <w:r>
        <w:rPr>
          <w:bCs/>
          <w:b/>
        </w:rPr>
        <w:t xml:space="preserve">Date of Issue:</w:t>
      </w:r>
      <w:r>
        <w:t xml:space="preserve"> </w:t>
      </w:r>
      <w:r>
        <w:t xml:space="preserve">14 June 2025</w:t>
      </w:r>
    </w:p>
    <w:p>
      <w:pPr>
        <w:pStyle w:val="BodyText"/>
      </w:pPr>
      <w:r>
        <w:rPr>
          <w:bCs/>
          <w:b/>
        </w:rPr>
        <w:t xml:space="preserve">Quotation Validity:</w:t>
      </w:r>
      <w:r>
        <w:t xml:space="preserve"> </w:t>
      </w:r>
      <w:r>
        <w:t xml:space="preserve">30 calendar days from the date of issue (expires 14 July 2025)</w:t>
      </w:r>
    </w:p>
    <w:p>
      <w:pPr>
        <w:pStyle w:val="BodyText"/>
      </w:pPr>
      <w:r>
        <w:rPr>
          <w:bCs/>
          <w:b/>
        </w:rPr>
        <w:t xml:space="preserve">Primary Lawyer of Record:</w:t>
      </w:r>
      <w:r>
        <w:t xml:space="preserve"> </w:t>
      </w:r>
      <w:r>
        <w:t xml:space="preserve">Attornatee Siriporn Chaiyasit, Esq. (Senior Partner)</w:t>
      </w:r>
    </w:p>
    <w:p>
      <w:pPr>
        <w:pStyle w:val="BodyText"/>
      </w:pPr>
      <w:r>
        <w:rPr>
          <w:bCs/>
          <w:b/>
        </w:rPr>
        <w:t xml:space="preserve">Practice Area:</w:t>
      </w:r>
      <w:r>
        <w:t xml:space="preserve"> </w:t>
      </w:r>
      <w:r>
        <w:t xml:space="preserve">Corporate &amp; Commercial Law, Foreign Business Licensing, Dispute Resolution</w:t>
      </w:r>
    </w:p>
    <w:p>
      <w:pPr>
        <w:pStyle w:val="BodyText"/>
      </w:pPr>
      <w:r>
        <w:rPr>
          <w:bCs/>
          <w:b/>
        </w:rPr>
        <w:t xml:space="preserve">Jurisdiction:</w:t>
      </w:r>
      <w:r>
        <w:t xml:space="preserve"> </w:t>
      </w:r>
      <w:r>
        <w:t xml:space="preserve">Kingdom of Thailand — Bangkok Metropolitan Region</w:t>
      </w:r>
    </w:p>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Siriporn &amp; Associates Legal Counsel, a duly registered law firm operating in</w:t>
      </w:r>
      <w:r>
        <w:t xml:space="preserve"> </w:t>
      </w:r>
      <w:r>
        <w:t xml:space="preserve">Thailand Bangkok</w:t>
      </w:r>
      <w:r>
        <w:t xml:space="preserve">, to provide Mr. James R. Whitfield with a comprehensive and itemised breakdown of the professional fees, disbursements, and ancillary costs associated with the engagement of our</w:t>
      </w:r>
      <w:r>
        <w:t xml:space="preserve"> </w:t>
      </w:r>
      <w:r>
        <w:t xml:space="preserve">Lawyer</w:t>
      </w:r>
      <w:r>
        <w:t xml:space="preserve"> </w:t>
      </w:r>
      <w:r>
        <w:t xml:space="preserve">team for the legal matters described herein. This document constitutes a binding Quotation Estimate only upon the client's written acceptance and execution of the accompanying retainer agreement. All fees quoted are exclusive of Value Added Tax (VAT) at the prevailing rate of 7% as administered by the Revenue Department of Thailand, unless otherwise stated.</w:t>
      </w:r>
    </w:p>
    <w:p>
      <w:pPr>
        <w:pStyle w:val="BodyText"/>
      </w:pPr>
      <w:r>
        <w:t xml:space="preserve">The scope of legal services covered by this Quotation Estimate encompasses the following matters to be handled by our designated Lawyer and supporting legal team within the Bangkok Metropolitan Area and, where necessary, before the Central Labor Court of Bangkok and the Bangkok Commercial Court:</w:t>
      </w:r>
    </w:p>
    <w:bookmarkEnd w:id="23"/>
    <w:bookmarkStart w:id="24" w:name="itemised-fee-schedule"/>
    <w:p>
      <w:pPr>
        <w:pStyle w:val="Heading2"/>
      </w:pPr>
      <w:r>
        <w:t xml:space="preserve">2. Itemised Fee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Legal Service</w:t>
            </w:r>
          </w:p>
        </w:tc>
        <w:tc>
          <w:tcPr/>
          <w:p>
            <w:pPr>
              <w:pStyle w:val="Compact"/>
              <w:jc w:val="left"/>
            </w:pPr>
            <w:r>
              <w:t xml:space="preserve">Rate / Basis</w:t>
            </w:r>
          </w:p>
        </w:tc>
        <w:tc>
          <w:tcPr/>
          <w:p>
            <w:pPr>
              <w:pStyle w:val="Compact"/>
              <w:jc w:val="left"/>
            </w:pPr>
            <w:r>
              <w:t xml:space="preserve">Estimated Hours</w:t>
            </w:r>
          </w:p>
        </w:tc>
        <w:tc>
          <w:tcPr/>
          <w:p>
            <w:pPr>
              <w:pStyle w:val="Compact"/>
              <w:jc w:val="left"/>
            </w:pPr>
            <w:r>
              <w:t xml:space="preserve">Estimated Fee (THB)</w:t>
            </w:r>
          </w:p>
        </w:tc>
      </w:tr>
      <w:tr>
        <w:tc>
          <w:tcPr/>
          <w:p>
            <w:pPr>
              <w:pStyle w:val="Compact"/>
              <w:jc w:val="left"/>
            </w:pPr>
            <w:r>
              <w:t xml:space="preserve">1</w:t>
            </w:r>
          </w:p>
        </w:tc>
        <w:tc>
          <w:tcPr/>
          <w:p>
            <w:pPr>
              <w:pStyle w:val="Compact"/>
              <w:jc w:val="left"/>
            </w:pPr>
            <w:r>
              <w:t xml:space="preserve">Initial consultation and comprehensive legal assessment of the foreign business licence (FBL) application under the Foreign Business Act B.E. 2542, conducted by the senior Lawyer at our Thailand Bangkok office.</w:t>
            </w:r>
          </w:p>
        </w:tc>
        <w:tc>
          <w:tcPr/>
          <w:p>
            <w:pPr>
              <w:pStyle w:val="Compact"/>
              <w:jc w:val="left"/>
            </w:pPr>
            <w:r>
              <w:t xml:space="preserve">THB 8,500 / hour</w:t>
            </w:r>
          </w:p>
        </w:tc>
        <w:tc>
          <w:tcPr/>
          <w:p>
            <w:pPr>
              <w:pStyle w:val="Compact"/>
              <w:jc w:val="left"/>
            </w:pPr>
            <w:r>
              <w:t xml:space="preserve">4 hours</w:t>
            </w:r>
          </w:p>
        </w:tc>
        <w:tc>
          <w:tcPr/>
          <w:p>
            <w:pPr>
              <w:pStyle w:val="Compact"/>
              <w:jc w:val="left"/>
            </w:pPr>
            <w:r>
              <w:t xml:space="preserve">THB 34,000</w:t>
            </w:r>
          </w:p>
        </w:tc>
      </w:tr>
      <w:tr>
        <w:tc>
          <w:tcPr/>
          <w:p>
            <w:pPr>
              <w:pStyle w:val="Compact"/>
              <w:jc w:val="left"/>
            </w:pPr>
            <w:r>
              <w:t xml:space="preserve">2</w:t>
            </w:r>
          </w:p>
        </w:tc>
        <w:tc>
          <w:tcPr/>
          <w:p>
            <w:pPr>
              <w:pStyle w:val="Compact"/>
              <w:jc w:val="left"/>
            </w:pPr>
            <w:r>
              <w:t xml:space="preserve">Preparation, review, and finalisation of all statutory documents, board resolutions, and supporting affidavits required for submission to the Department of Business Development (DBD), Bangkok Regional Office.</w:t>
            </w:r>
          </w:p>
        </w:tc>
        <w:tc>
          <w:tcPr/>
          <w:p>
            <w:pPr>
              <w:pStyle w:val="Compact"/>
              <w:jc w:val="left"/>
            </w:pPr>
            <w:r>
              <w:t xml:space="preserve">THB 7,000 / hour</w:t>
            </w:r>
          </w:p>
        </w:tc>
        <w:tc>
          <w:tcPr/>
          <w:p>
            <w:pPr>
              <w:pStyle w:val="Compact"/>
              <w:jc w:val="left"/>
            </w:pPr>
            <w:r>
              <w:t xml:space="preserve">12 hours</w:t>
            </w:r>
          </w:p>
        </w:tc>
        <w:tc>
          <w:tcPr/>
          <w:p>
            <w:pPr>
              <w:pStyle w:val="Compact"/>
              <w:jc w:val="left"/>
            </w:pPr>
            <w:r>
              <w:t xml:space="preserve">THB 84,000</w:t>
            </w:r>
          </w:p>
        </w:tc>
      </w:tr>
      <w:tr>
        <w:tc>
          <w:tcPr/>
          <w:p>
            <w:pPr>
              <w:pStyle w:val="Compact"/>
              <w:jc w:val="left"/>
            </w:pPr>
            <w:r>
              <w:t xml:space="preserve">3</w:t>
            </w:r>
          </w:p>
        </w:tc>
        <w:tc>
          <w:tcPr/>
          <w:p>
            <w:pPr>
              <w:pStyle w:val="Compact"/>
              <w:jc w:val="left"/>
            </w:pPr>
            <w:r>
              <w:t xml:space="preserve">Drafting and negotiation of a commercial lease agreement (minimum 3-year term) for the client's proposed office premises in the Sathorn district, Thailand Bangkok, including due diligence on title deeds and land-use zoning compliance.</w:t>
            </w:r>
          </w:p>
        </w:tc>
        <w:tc>
          <w:tcPr/>
          <w:p>
            <w:pPr>
              <w:pStyle w:val="Compact"/>
              <w:jc w:val="left"/>
            </w:pPr>
            <w:r>
              <w:t xml:space="preserve">THB 7,000 / hour</w:t>
            </w:r>
          </w:p>
        </w:tc>
        <w:tc>
          <w:tcPr/>
          <w:p>
            <w:pPr>
              <w:pStyle w:val="Compact"/>
              <w:jc w:val="left"/>
            </w:pPr>
            <w:r>
              <w:t xml:space="preserve">16 hours</w:t>
            </w:r>
          </w:p>
        </w:tc>
        <w:tc>
          <w:tcPr/>
          <w:p>
            <w:pPr>
              <w:pStyle w:val="Compact"/>
              <w:jc w:val="left"/>
            </w:pPr>
            <w:r>
              <w:t xml:space="preserve">THB 112,000</w:t>
            </w:r>
          </w:p>
        </w:tc>
      </w:tr>
      <w:tr>
        <w:tc>
          <w:tcPr/>
          <w:p>
            <w:pPr>
              <w:pStyle w:val="Compact"/>
              <w:jc w:val="left"/>
            </w:pPr>
            <w:r>
              <w:t xml:space="preserve">4</w:t>
            </w:r>
          </w:p>
        </w:tc>
        <w:tc>
          <w:tcPr/>
          <w:p>
            <w:pPr>
              <w:pStyle w:val="Compact"/>
              <w:jc w:val="left"/>
            </w:pPr>
            <w:r>
              <w:t xml:space="preserve">Representation before the Bangkok Commercial Court in a pending contract dispute (Case No. 4521/2568), including filing of the statement of defence, discovery proceedings, and one full-day trial appearance by the lead Lawyer.</w:t>
            </w:r>
          </w:p>
        </w:tc>
        <w:tc>
          <w:tcPr/>
          <w:p>
            <w:pPr>
              <w:pStyle w:val="Compact"/>
              <w:jc w:val="left"/>
            </w:pPr>
            <w:r>
              <w:t xml:space="preserve">THB 12,000 / hour (trial); THB 8,000 / hour (pre-trial)</w:t>
            </w:r>
          </w:p>
        </w:tc>
        <w:tc>
          <w:tcPr/>
          <w:p>
            <w:pPr>
              <w:pStyle w:val="Compact"/>
              <w:jc w:val="left"/>
            </w:pPr>
            <w:r>
              <w:t xml:space="preserve">22 hours</w:t>
            </w:r>
          </w:p>
        </w:tc>
        <w:tc>
          <w:tcPr/>
          <w:p>
            <w:pPr>
              <w:pStyle w:val="Compact"/>
              <w:jc w:val="left"/>
            </w:pPr>
            <w:r>
              <w:t xml:space="preserve">THB 198,000</w:t>
            </w:r>
          </w:p>
        </w:tc>
      </w:tr>
      <w:tr>
        <w:tc>
          <w:tcPr/>
          <w:p>
            <w:pPr>
              <w:pStyle w:val="Compact"/>
              <w:jc w:val="left"/>
            </w:pPr>
            <w:r>
              <w:t xml:space="preserve">5</w:t>
            </w:r>
          </w:p>
        </w:tc>
        <w:tc>
          <w:tcPr/>
          <w:p>
            <w:pPr>
              <w:pStyle w:val="Compact"/>
              <w:jc w:val="left"/>
            </w:pPr>
            <w:r>
              <w:t xml:space="preserve">Corporate governance advisory: quarterly compliance reviews, annual general meeting (AGM) preparation, and Board of Directors minutes review in accordance with the Thai Civil and Commercial Code and the Companies Act B.E. 2562.</w:t>
            </w:r>
          </w:p>
        </w:tc>
        <w:tc>
          <w:tcPr/>
          <w:p>
            <w:pPr>
              <w:pStyle w:val="Compact"/>
              <w:jc w:val="left"/>
            </w:pPr>
            <w:r>
              <w:t xml:space="preserve">THB 6,500 / hour</w:t>
            </w:r>
          </w:p>
        </w:tc>
        <w:tc>
          <w:tcPr/>
          <w:p>
            <w:pPr>
              <w:pStyle w:val="Compact"/>
              <w:jc w:val="left"/>
            </w:pPr>
            <w:r>
              <w:t xml:space="preserve">8 hours (per quarter)</w:t>
            </w:r>
          </w:p>
        </w:tc>
        <w:tc>
          <w:tcPr/>
          <w:p>
            <w:pPr>
              <w:pStyle w:val="Compact"/>
              <w:jc w:val="left"/>
            </w:pPr>
            <w:r>
              <w:t xml:space="preserve">THB 52,000</w:t>
            </w:r>
          </w:p>
        </w:tc>
      </w:tr>
      <w:tr>
        <w:tc>
          <w:tcPr/>
          <w:p>
            <w:pPr>
              <w:pStyle w:val="Compact"/>
              <w:jc w:val="left"/>
            </w:pPr>
            <w:r>
              <w:t xml:space="preserve">6</w:t>
            </w:r>
          </w:p>
        </w:tc>
        <w:tc>
          <w:tcPr/>
          <w:p>
            <w:pPr>
              <w:pStyle w:val="Compact"/>
              <w:jc w:val="left"/>
            </w:pPr>
            <w:r>
              <w:t xml:space="preserve">Immigration and work-permit liaison: coordination with the Immigration Bureau, Bangkok (Sukhumvit 23 office) and the Department of Labour for the issuance of non-immigrant B visas and work permits for three (3) expatriate employees.</w:t>
            </w:r>
          </w:p>
        </w:tc>
        <w:tc>
          <w:tcPr/>
          <w:p>
            <w:pPr>
              <w:pStyle w:val="Compact"/>
              <w:jc w:val="left"/>
            </w:pPr>
            <w:r>
              <w:t xml:space="preserve">Flat fee per employee</w:t>
            </w:r>
          </w:p>
        </w:tc>
        <w:tc>
          <w:tcPr/>
          <w:p>
            <w:pPr>
              <w:pStyle w:val="Compact"/>
              <w:jc w:val="left"/>
            </w:pPr>
            <w:r>
              <w:t xml:space="preserve">3 employees</w:t>
            </w:r>
          </w:p>
        </w:tc>
        <w:tc>
          <w:tcPr/>
          <w:p>
            <w:pPr>
              <w:pStyle w:val="Compact"/>
              <w:jc w:val="left"/>
            </w:pPr>
            <w:r>
              <w:t xml:space="preserve">THB 45,000</w:t>
            </w:r>
          </w:p>
        </w:tc>
      </w:tr>
      <w:tr>
        <w:tc>
          <w:tcPr/>
          <w:p>
            <w:pPr>
              <w:pStyle w:val="Compact"/>
              <w:jc w:val="left"/>
            </w:pPr>
            <w:r>
              <w:t xml:space="preserve">7</w:t>
            </w:r>
          </w:p>
        </w:tc>
        <w:tc>
          <w:tcPr/>
          <w:p>
            <w:pPr>
              <w:pStyle w:val="Compact"/>
              <w:jc w:val="left"/>
            </w:pPr>
            <w:r>
              <w:t xml:space="preserve">General correspondence, telephone consultations, and email advisory services provided by the Lawyer and paralegal team throughout the engagement period.</w:t>
            </w:r>
          </w:p>
        </w:tc>
        <w:tc>
          <w:tcPr/>
          <w:p>
            <w:pPr>
              <w:pStyle w:val="Compact"/>
              <w:jc w:val="left"/>
            </w:pPr>
            <w:r>
              <w:t xml:space="preserve">THB 4,500 / hour</w:t>
            </w:r>
          </w:p>
        </w:tc>
        <w:tc>
          <w:tcPr/>
          <w:p>
            <w:pPr>
              <w:pStyle w:val="Compact"/>
              <w:jc w:val="left"/>
            </w:pPr>
            <w:r>
              <w:t xml:space="preserve">10 hours</w:t>
            </w:r>
          </w:p>
        </w:tc>
        <w:tc>
          <w:tcPr/>
          <w:p>
            <w:pPr>
              <w:pStyle w:val="Compact"/>
              <w:jc w:val="left"/>
            </w:pPr>
            <w:r>
              <w:t xml:space="preserve">THB 45,000</w:t>
            </w:r>
          </w:p>
        </w:tc>
      </w:tr>
      <w:tr>
        <w:tc>
          <w:tcPr/>
          <w:p>
            <w:pPr>
              <w:pStyle w:val="Compact"/>
              <w:jc w:val="left"/>
            </w:pPr>
            <w:r>
              <w:t xml:space="preserve">8</w:t>
            </w:r>
          </w:p>
        </w:tc>
        <w:tc>
          <w:tcPr/>
          <w:p>
            <w:pPr>
              <w:pStyle w:val="Compact"/>
              <w:jc w:val="left"/>
            </w:pPr>
            <w:r>
              <w:t xml:space="preserve">Disbursements and out-of-pocket expenses: court filing fees, DBD registration fees, official document translations (Thai-English, certified), notary public fees, courier and postage, and photocopying.</w:t>
            </w:r>
          </w:p>
        </w:tc>
        <w:tc>
          <w:tcPr/>
          <w:p>
            <w:pPr>
              <w:pStyle w:val="Compact"/>
              <w:jc w:val="left"/>
            </w:pPr>
            <w:r>
              <w:t xml:space="preserve">Actual cost (reimbursable)</w:t>
            </w:r>
          </w:p>
        </w:tc>
        <w:tc>
          <w:tcPr/>
          <w:p>
            <w:pPr>
              <w:pStyle w:val="Compact"/>
              <w:jc w:val="left"/>
            </w:pPr>
            <w:r>
              <w:t xml:space="preserve">—</w:t>
            </w:r>
          </w:p>
        </w:tc>
        <w:tc>
          <w:tcPr/>
          <w:p>
            <w:pPr>
              <w:pStyle w:val="Compact"/>
              <w:jc w:val="left"/>
            </w:pPr>
            <w:r>
              <w:t xml:space="preserve">THB 28,000 (est.)</w:t>
            </w:r>
          </w:p>
        </w:tc>
      </w:tr>
      <w:tr>
        <w:tc>
          <w:tcPr>
            <w:gridSpan w:val="4"/>
          </w:tcPr>
          <w:p>
            <w:pPr>
              <w:pStyle w:val="Compact"/>
              <w:jc w:val="right"/>
            </w:pPr>
            <w:r>
              <w:t xml:space="preserve">Subtotal (Professional Fees + Estimated Disbursements)</w:t>
            </w:r>
          </w:p>
        </w:tc>
        <w:tc>
          <w:tcPr/>
          <w:p>
            <w:pPr>
              <w:pStyle w:val="Compact"/>
              <w:jc w:val="left"/>
            </w:pPr>
            <w:r>
              <w:t xml:space="preserve">THB 598,000</w:t>
            </w:r>
          </w:p>
        </w:tc>
      </w:tr>
      <w:tr>
        <w:tc>
          <w:tcPr>
            <w:gridSpan w:val="4"/>
          </w:tcPr>
          <w:p>
            <w:pPr>
              <w:pStyle w:val="Compact"/>
              <w:jc w:val="right"/>
            </w:pPr>
            <w:r>
              <w:t xml:space="preserve">VAT @ 7%</w:t>
            </w:r>
          </w:p>
        </w:tc>
        <w:tc>
          <w:tcPr/>
          <w:p>
            <w:pPr>
              <w:pStyle w:val="Compact"/>
              <w:jc w:val="left"/>
            </w:pPr>
            <w:r>
              <w:t xml:space="preserve">THB 41,860</w:t>
            </w:r>
          </w:p>
        </w:tc>
      </w:tr>
      <w:tr>
        <w:tc>
          <w:tcPr>
            <w:gridSpan w:val="4"/>
          </w:tcPr>
          <w:p>
            <w:pPr>
              <w:pStyle w:val="Compact"/>
              <w:jc w:val="right"/>
            </w:pPr>
            <w:r>
              <w:t xml:space="preserve">TOTAL ESTIMATED FEE (Incl. VAT)</w:t>
            </w:r>
          </w:p>
        </w:tc>
        <w:tc>
          <w:tcPr/>
          <w:p>
            <w:pPr>
              <w:pStyle w:val="Compact"/>
              <w:jc w:val="left"/>
            </w:pPr>
            <w:r>
              <w:t xml:space="preserve">THB 639,860</w:t>
            </w:r>
          </w:p>
        </w:tc>
      </w:tr>
    </w:tbl>
    <w:p>
      <w:pPr>
        <w:pStyle w:val="BodyText"/>
      </w:pPr>
      <w:r>
        <w:rPr>
          <w:bCs/>
          <w:b/>
        </w:rPr>
        <w:t xml:space="preserve">Important Note Regarding This Quotation Estimate:</w:t>
      </w:r>
      <w:r>
        <w:t xml:space="preserve"> </w:t>
      </w:r>
      <w:r>
        <w:t xml:space="preserve">The figures presented in this Quotation Estimate are good-faith projections based on the current scope of work and the Lawyer's professional experience with similar matters in Thailand Bangkok. Actual fees may vary by up to 15% depending on the complexity of proceedings, additional court appearances, or unforeseen regulatory requirements imposed by Thai governmental authorities. The client will be notified in writing before any material deviation from this Quotation Estimate is incurred.</w:t>
      </w:r>
    </w:p>
    <w:bookmarkEnd w:id="24"/>
    <w:bookmarkStart w:id="25" w:name="payment-terms-and-schedule"/>
    <w:p>
      <w:pPr>
        <w:pStyle w:val="Heading2"/>
      </w:pPr>
      <w:r>
        <w:t xml:space="preserve">3. Payment Terms and Schedule</w:t>
      </w:r>
    </w:p>
    <w:p>
      <w:pPr>
        <w:pStyle w:val="FirstParagraph"/>
      </w:pPr>
      <w:r>
        <w:t xml:space="preserve">Payment for the legal services outlined in this Quotation Estimate shall be made in accordance with the following schedule, payable to Siriporn &amp; Associates Legal Counsel via bank transfer to the firm's designated account at Kasikornbank PCL, Sathorn Branch, Thailand Bangkok:</w:t>
      </w:r>
    </w:p>
    <w:p>
      <w:pPr>
        <w:numPr>
          <w:ilvl w:val="0"/>
          <w:numId w:val="1001"/>
        </w:numPr>
        <w:pStyle w:val="Compact"/>
      </w:pPr>
      <w:r>
        <w:rPr>
          <w:bCs/>
          <w:b/>
        </w:rPr>
        <w:t xml:space="preserve">Retainer / Deposit:</w:t>
      </w:r>
      <w:r>
        <w:t xml:space="preserve"> </w:t>
      </w:r>
      <w:r>
        <w:t xml:space="preserve">30% of the total estimated fee (THB 191,958) due within five (5) business days of acceptance of this Quotation Estimate.</w:t>
      </w:r>
    </w:p>
    <w:p>
      <w:pPr>
        <w:numPr>
          <w:ilvl w:val="0"/>
          <w:numId w:val="1001"/>
        </w:numPr>
        <w:pStyle w:val="Compact"/>
      </w:pPr>
      <w:r>
        <w:rPr>
          <w:bCs/>
          <w:b/>
        </w:rPr>
        <w:t xml:space="preserve">Progress Payments:</w:t>
      </w:r>
      <w:r>
        <w:t xml:space="preserve"> </w:t>
      </w:r>
      <w:r>
        <w:t xml:space="preserve">40% of the total estimated fee (THB 255,944) payable in two equal instalments — 50% upon completion of the FBL application submission and 50% upon the conclusion of the pre-trial discovery phase in the Bangkok Commercial Court matter.</w:t>
      </w:r>
    </w:p>
    <w:p>
      <w:pPr>
        <w:numPr>
          <w:ilvl w:val="0"/>
          <w:numId w:val="1001"/>
        </w:numPr>
        <w:pStyle w:val="Compact"/>
      </w:pPr>
      <w:r>
        <w:rPr>
          <w:bCs/>
          <w:b/>
        </w:rPr>
        <w:t xml:space="preserve">Final Settlement:</w:t>
      </w:r>
      <w:r>
        <w:t xml:space="preserve"> </w:t>
      </w:r>
      <w:r>
        <w:t xml:space="preserve">The remaining 30% (THB 191,958) plus any additional disbursements or fee adjustments, payable within fourteen (14) days of the final court judgment or the completion of all advisory services, whichever occurs later.</w:t>
      </w:r>
    </w:p>
    <w:bookmarkEnd w:id="25"/>
    <w:bookmarkStart w:id="26" w:name="X84219548950111aba770d88d6d40171a64ff8ef"/>
    <w:p>
      <w:pPr>
        <w:pStyle w:val="Heading2"/>
      </w:pPr>
      <w:r>
        <w:t xml:space="preserve">4. Terms and Conditions Governing This Quotation Estimate</w:t>
      </w:r>
    </w:p>
    <w:p>
      <w:pPr>
        <w:numPr>
          <w:ilvl w:val="0"/>
          <w:numId w:val="1002"/>
        </w:numPr>
        <w:pStyle w:val="Compact"/>
      </w:pPr>
      <w:r>
        <w:t xml:space="preserve">This Quotation Estimate is valid for a period of thirty (30) days from the date of issue. Upon expiry, the Lawyer reserves the right to revise all fee rates to reflect current market conditions in Thailand Bangkok.</w:t>
      </w:r>
    </w:p>
    <w:p>
      <w:pPr>
        <w:numPr>
          <w:ilvl w:val="0"/>
          <w:numId w:val="1002"/>
        </w:numPr>
        <w:pStyle w:val="Compact"/>
      </w:pPr>
      <w:r>
        <w:t xml:space="preserve">Acceptance of this Quotation Estimate shall be deemed to constitute the client's agreement to the full terms of the firm's standard Retainer Agreement, which shall be executed concurrently.</w:t>
      </w:r>
    </w:p>
    <w:p>
      <w:pPr>
        <w:numPr>
          <w:ilvl w:val="0"/>
          <w:numId w:val="1002"/>
        </w:numPr>
        <w:pStyle w:val="Compact"/>
      </w:pPr>
      <w:r>
        <w:t xml:space="preserve">The Lawyer and all associated legal personnel shall maintain strict confidentiality in accordance with the Thai Lawyers' Code of Ethics and the Personal Data Protection Act B.E. 2562 (PDPA). No information pertaining to the client's matters shall be disclosed to any third party without prior written consent.</w:t>
      </w:r>
    </w:p>
    <w:p>
      <w:pPr>
        <w:numPr>
          <w:ilvl w:val="0"/>
          <w:numId w:val="1002"/>
        </w:numPr>
        <w:pStyle w:val="Compact"/>
      </w:pPr>
      <w:r>
        <w:t xml:space="preserve">All legal advice, opinions, and documents prepared by the Lawyer under this engagement shall be governed by the laws of the Kingdom of Thailand. Any disputes arising from this Quotation Estimate or the underlying retainer shall be subject to the exclusive jurisdiction of the Bangkok courts.</w:t>
      </w:r>
    </w:p>
    <w:p>
      <w:pPr>
        <w:numPr>
          <w:ilvl w:val="0"/>
          <w:numId w:val="1002"/>
        </w:numPr>
        <w:pStyle w:val="Compact"/>
      </w:pPr>
      <w:r>
        <w:t xml:space="preserve">The client acknowledges that the Lawyer's fees are estimates and not guarantees of outcome. No fee is refundable for work already performed, except in cases of material breach by the firm.</w:t>
      </w:r>
    </w:p>
    <w:p>
      <w:pPr>
        <w:numPr>
          <w:ilvl w:val="0"/>
          <w:numId w:val="1002"/>
        </w:numPr>
        <w:pStyle w:val="Compact"/>
      </w:pPr>
      <w:r>
        <w:t xml:space="preserve">This Quotation Estimate does not constitute a guarantee of any particular legal result. The Lawyer shall exercise reasonable professional diligence in the representation of the client's interests before all relevant Thai authorities and courts in Bangkok.</w:t>
      </w:r>
    </w:p>
    <w:p>
      <w:pPr>
        <w:numPr>
          <w:ilvl w:val="0"/>
          <w:numId w:val="1002"/>
        </w:numPr>
        <w:pStyle w:val="Compact"/>
      </w:pPr>
      <w:r>
        <w:t xml:space="preserve">Any amendments to the scope of work must be documented in a written addendum to this Quotation Estimate, signed by both the client and the authorised Lawyer of record.</w:t>
      </w:r>
    </w:p>
    <w:bookmarkEnd w:id="26"/>
    <w:bookmarkStart w:id="27" w:name="acceptance-and-authorisation"/>
    <w:p>
      <w:pPr>
        <w:pStyle w:val="Heading2"/>
      </w:pPr>
      <w:r>
        <w:t xml:space="preserve">5. Acceptance and Authorisation</w:t>
      </w:r>
    </w:p>
    <w:p>
      <w:pPr>
        <w:pStyle w:val="FirstParagraph"/>
      </w:pPr>
      <w:r>
        <w:t xml:space="preserve">By signing below, the client confirms that this Quotation Estimate has been reviewed in its entirety, that all fee structures and terms are understood, and that the client authorises the engagement of the designated Lawyer and legal team for the services described herein. This acceptance shall be effective immediately upon the last signature being affixed.</w:t>
      </w:r>
    </w:p>
    <w:p>
      <w:pPr>
        <w:pStyle w:val="BodyText"/>
      </w:pPr>
      <w:r>
        <w:rPr>
          <w:bCs/>
          <w:b/>
        </w:rPr>
        <w:t xml:space="preserve">For and on behalf of Siriporn &amp; Associates Legal Counsel</w:t>
      </w:r>
      <w:r>
        <w:br/>
      </w:r>
      <w:r>
        <w:t xml:space="preserve">Attornatee Siriporn Chaiyasit, Esq.</w:t>
      </w:r>
      <w:r>
        <w:br/>
      </w:r>
      <w:r>
        <w:t xml:space="preserve">Senior Partner / Lead Lawyer</w:t>
      </w:r>
      <w:r>
        <w:br/>
      </w:r>
      <w:r>
        <w:t xml:space="preserve">Thailand Bangkok</w:t>
      </w:r>
      <w:r>
        <w:br/>
      </w:r>
      <w:r>
        <w:t xml:space="preserve">Date: ____________________</w:t>
      </w:r>
    </w:p>
    <w:p>
      <w:pPr>
        <w:pStyle w:val="BodyText"/>
      </w:pPr>
      <w:r>
        <w:rPr>
          <w:bCs/>
          <w:b/>
        </w:rPr>
        <w:t xml:space="preserve">Accepted and Agreed by the Client</w:t>
      </w:r>
      <w:r>
        <w:br/>
      </w:r>
      <w:r>
        <w:t xml:space="preserve">Mr. James R. Whitfield</w:t>
      </w:r>
      <w:r>
        <w:br/>
      </w:r>
      <w:r>
        <w:t xml:space="preserve">Director, Whitfield International Trading Co., Ltd.</w:t>
      </w:r>
      <w:r>
        <w:br/>
      </w:r>
      <w:r>
        <w:t xml:space="preserve">Thailand Bangkok</w:t>
      </w:r>
      <w:r>
        <w:br/>
      </w:r>
      <w:r>
        <w:t xml:space="preserve">Date: ____________________</w:t>
      </w:r>
    </w:p>
    <w:p>
      <w:pPr>
        <w:pStyle w:val="BodyText"/>
      </w:pPr>
      <w:r>
        <w:t xml:space="preserve">Siriporn &amp; Associates Legal Counsel — 979 Rama IV Road, Bangrak,</w:t>
      </w:r>
      <w:r>
        <w:t xml:space="preserve"> </w:t>
      </w:r>
      <w:r>
        <w:rPr>
          <w:bCs/>
          <w:b/>
        </w:rPr>
        <w:t xml:space="preserve">Thailand Bangkok</w:t>
      </w:r>
      <w:r>
        <w:t xml:space="preserve"> </w:t>
      </w:r>
      <w:r>
        <w:t xml:space="preserve">10500 — Bar Council of Thailand Registered Firm No. 4471</w:t>
      </w:r>
    </w:p>
    <w:p>
      <w:pPr>
        <w:pStyle w:val="BodyText"/>
      </w:pPr>
      <w:r>
        <w:t xml:space="preserve">This Quotation Estimate is a confidential document intended solely for the named client. Unauthorised reproduction or distribution is prohibited under Thai intellectual property and data protection law.</w:t>
      </w:r>
    </w:p>
    <w:p>
      <w:pPr>
        <w:pStyle w:val="BodyText"/>
      </w:pPr>
      <w:r>
        <w:t xml:space="preserve">Page 1 of 1 — Generated: 14 June 2025 — Ref: QTE-BKK-2025-04782</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Legal Services - Thailand Bangkok</dc:title>
  <dc:creator/>
  <dc:language>en</dc:language>
  <cp:keywords/>
  <dcterms:created xsi:type="dcterms:W3CDTF">2026-10-10T10:21:13Z</dcterms:created>
  <dcterms:modified xsi:type="dcterms:W3CDTF">2026-10-10T10:21:13Z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