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Legal Services — Attorney at Law — Ankara, Turkey</w:t>
      </w:r>
    </w:p>
    <w:bookmarkEnd w:id="20"/>
    <w:bookmarkStart w:id="21" w:name="law-firm-details"/>
    <w:p>
      <w:pPr>
        <w:pStyle w:val="Heading3"/>
      </w:pPr>
      <w:r>
        <w:t xml:space="preserve">Law Firm Details</w:t>
      </w:r>
    </w:p>
    <w:p>
      <w:pPr>
        <w:pStyle w:val="FirstParagraph"/>
      </w:pPr>
      <w:r>
        <w:rPr>
          <w:bCs/>
          <w:b/>
        </w:rPr>
        <w:t xml:space="preserve">Attorney:</w:t>
      </w:r>
      <w:r>
        <w:t xml:space="preserve"> </w:t>
      </w:r>
      <w:r>
        <w:t xml:space="preserve">Av. Mehmet Kaya, Esq.</w:t>
      </w:r>
    </w:p>
    <w:p>
      <w:pPr>
        <w:pStyle w:val="BodyText"/>
      </w:pPr>
      <w:r>
        <w:rPr>
          <w:bCs/>
          <w:b/>
        </w:rPr>
        <w:t xml:space="preserve">Firm:</w:t>
      </w:r>
      <w:r>
        <w:t xml:space="preserve"> </w:t>
      </w:r>
      <w:r>
        <w:t xml:space="preserve">Kaya &amp; Partners Legal Consultancy</w:t>
      </w:r>
    </w:p>
    <w:p>
      <w:pPr>
        <w:pStyle w:val="BodyText"/>
      </w:pPr>
      <w:r>
        <w:rPr>
          <w:bCs/>
          <w:b/>
        </w:rPr>
        <w:t xml:space="preserve">Address:</w:t>
      </w:r>
      <w:r>
        <w:t xml:space="preserve"> </w:t>
      </w:r>
      <w:r>
        <w:t xml:space="preserve">Kızılay Mahallesi, Atatürk Bulvarı No: 142/7, Çankaya, 06690 Ankara, Turkey</w:t>
      </w:r>
    </w:p>
    <w:p>
      <w:pPr>
        <w:pStyle w:val="BodyText"/>
      </w:pPr>
      <w:r>
        <w:rPr>
          <w:bCs/>
          <w:b/>
        </w:rPr>
        <w:t xml:space="preserve">Phone:</w:t>
      </w:r>
      <w:r>
        <w:t xml:space="preserve"> </w:t>
      </w:r>
      <w:r>
        <w:t xml:space="preserve">+90 (312) 445 6789</w:t>
      </w:r>
    </w:p>
    <w:p>
      <w:pPr>
        <w:pStyle w:val="BodyText"/>
      </w:pPr>
      <w:r>
        <w:rPr>
          <w:bCs/>
          <w:b/>
        </w:rPr>
        <w:t xml:space="preserve">Email:</w:t>
      </w:r>
      <w:r>
        <w:t xml:space="preserve"> </w:t>
      </w:r>
      <w:r>
        <w:t xml:space="preserve">info@kayapartners-law.com.tr</w:t>
      </w:r>
    </w:p>
    <w:p>
      <w:pPr>
        <w:pStyle w:val="BodyText"/>
      </w:pPr>
      <w:r>
        <w:rPr>
          <w:bCs/>
          <w:b/>
        </w:rPr>
        <w:t xml:space="preserve">Bar Registration:</w:t>
      </w:r>
      <w:r>
        <w:t xml:space="preserve"> </w:t>
      </w:r>
      <w:r>
        <w:t xml:space="preserve">Ankara Bar Association, No. 12847</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Company/Entity:</w:t>
      </w:r>
      <w:r>
        <w:t xml:space="preserve"> </w:t>
      </w:r>
      <w:r>
        <w:t xml:space="preserve">[Company Name, if applicable]</w:t>
      </w:r>
    </w:p>
    <w:p>
      <w:pPr>
        <w:pStyle w:val="BodyText"/>
      </w:pPr>
      <w:r>
        <w:rPr>
          <w:bCs/>
          <w:b/>
        </w:rPr>
        <w:t xml:space="preserve">Address:</w:t>
      </w:r>
      <w:r>
        <w:t xml:space="preserve"> </w:t>
      </w:r>
      <w:r>
        <w:t xml:space="preserve">[Client Address]</w:t>
      </w:r>
    </w:p>
    <w:p>
      <w:pPr>
        <w:pStyle w:val="BodyText"/>
      </w:pPr>
      <w:r>
        <w:rPr>
          <w:bCs/>
          <w:b/>
        </w:rPr>
        <w:t xml:space="preserve">Tax ID / TC Kimlik:</w:t>
      </w:r>
      <w:r>
        <w:t xml:space="preserve"> </w:t>
      </w:r>
      <w:r>
        <w:t xml:space="preserve">[Identification Number]</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p>
      <w:pPr>
        <w:pStyle w:val="BodyText"/>
      </w:pPr>
      <w:r>
        <w:rPr>
          <w:bCs/>
          <w:b/>
        </w:rPr>
        <w:t xml:space="preserve">Quotation Estimate No.:</w:t>
      </w:r>
      <w:r>
        <w:t xml:space="preserve"> </w:t>
      </w:r>
      <w:r>
        <w:t xml:space="preserve">QE-2025-ANK-0347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Jurisdiction:</w:t>
      </w:r>
      <w:r>
        <w:t xml:space="preserve"> </w:t>
      </w:r>
      <w:r>
        <w:t xml:space="preserve">Republic of Turkey — Ankara Metropolitan Court District</w:t>
      </w:r>
    </w:p>
    <w:p>
      <w:pPr>
        <w:pStyle w:val="BodyText"/>
      </w:pPr>
      <w:r>
        <w:rPr>
          <w:bCs/>
          <w:b/>
        </w:rPr>
        <w:t xml:space="preserve">Prepared By:</w:t>
      </w:r>
      <w:r>
        <w:t xml:space="preserve"> </w:t>
      </w:r>
      <w:r>
        <w:t xml:space="preserve">Av. Mehmet Kaya, Senior Partner</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Kaya &amp; Partners Legal Consultancy, a registered law firm operating in</w:t>
      </w:r>
      <w:r>
        <w:t xml:space="preserve"> </w:t>
      </w:r>
      <w:r>
        <w:t xml:space="preserve">Turkey Ankara</w:t>
      </w:r>
      <w:r>
        <w:t xml:space="preserve">, to provide the client with a comprehensive and transparent breakdown of anticipated legal fees, court costs, and professional services. This document serves as a formal</w:t>
      </w:r>
      <w:r>
        <w:t xml:space="preserve"> </w:t>
      </w:r>
      <w:r>
        <w:t xml:space="preserve">Quotation Estimate</w:t>
      </w:r>
      <w:r>
        <w:t xml:space="preserve"> </w:t>
      </w:r>
      <w:r>
        <w:t xml:space="preserve">for the engagement of a qualified</w:t>
      </w:r>
      <w:r>
        <w:t xml:space="preserve"> </w:t>
      </w:r>
      <w:r>
        <w:t xml:space="preserve">Lawyer</w:t>
      </w:r>
      <w:r>
        <w:t xml:space="preserve"> </w:t>
      </w:r>
      <w:r>
        <w:t xml:space="preserve">to represent the client's interests in civil, commercial, and/or administrative legal matters before the courts and governmental authorities located in Ankara, the capital city of the Republic of Turkey.</w:t>
      </w:r>
    </w:p>
    <w:p>
      <w:pPr>
        <w:pStyle w:val="BodyText"/>
      </w:pPr>
      <w:r>
        <w:t xml:space="preserve">The</w:t>
      </w:r>
      <w:r>
        <w:t xml:space="preserve"> </w:t>
      </w:r>
      <w:r>
        <w:t xml:space="preserve">Lawyer</w:t>
      </w:r>
      <w:r>
        <w:t xml:space="preserve"> </w:t>
      </w:r>
      <w:r>
        <w:t xml:space="preserve">and legal team identified in this</w:t>
      </w:r>
      <w:r>
        <w:t xml:space="preserve"> </w:t>
      </w:r>
      <w:r>
        <w:t xml:space="preserve">Quotation Estimate</w:t>
      </w:r>
      <w:r>
        <w:t xml:space="preserve"> </w:t>
      </w:r>
      <w:r>
        <w:t xml:space="preserve">are fully licensed practitioners registered with the Ankara Bar Association (Ankara Barosu) and are authorized to practice law throughout the jurisdiction of</w:t>
      </w:r>
      <w:r>
        <w:t xml:space="preserve"> </w:t>
      </w:r>
      <w:r>
        <w:t xml:space="preserve">Turkey Ankara</w:t>
      </w:r>
      <w:r>
        <w:t xml:space="preserve">, including the Ankara Regional Court of Justice, the Ankara Administrative Courts, and the Ankara Court of Cassation (Yargıtay) for appellate matters.</w:t>
      </w:r>
    </w:p>
    <w:bookmarkEnd w:id="23"/>
    <w:bookmarkStart w:id="24" w:name="X138924e25956e0a926fdf2424c060a36acf892f"/>
    <w:p>
      <w:pPr>
        <w:pStyle w:val="Heading2"/>
      </w:pPr>
      <w:r>
        <w:t xml:space="preserve">2. Detailed Fee Schedule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Professional / Court Fee</w:t>
            </w:r>
          </w:p>
        </w:tc>
        <w:tc>
          <w:tcPr/>
          <w:p>
            <w:pPr>
              <w:pStyle w:val="Compact"/>
              <w:jc w:val="left"/>
            </w:pPr>
            <w:r>
              <w:t xml:space="preserve">Estimated Hours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legal consultation and case assessment by the assigned Lawyer in Ankara</w:t>
            </w:r>
          </w:p>
        </w:tc>
        <w:tc>
          <w:tcPr/>
          <w:p>
            <w:pPr>
              <w:pStyle w:val="Compact"/>
              <w:jc w:val="left"/>
            </w:pPr>
            <w:r>
              <w:t xml:space="preserve">TRY 2,500.00</w:t>
            </w:r>
          </w:p>
        </w:tc>
        <w:tc>
          <w:tcPr/>
          <w:p>
            <w:pPr>
              <w:pStyle w:val="Compact"/>
              <w:jc w:val="left"/>
            </w:pPr>
            <w:r>
              <w:t xml:space="preserve">2 hours</w:t>
            </w:r>
          </w:p>
        </w:tc>
        <w:tc>
          <w:tcPr/>
          <w:p>
            <w:pPr>
              <w:pStyle w:val="Compact"/>
              <w:jc w:val="left"/>
            </w:pPr>
            <w:r>
              <w:t xml:space="preserve">One-time fee; includes written legal opinion</w:t>
            </w:r>
          </w:p>
        </w:tc>
      </w:tr>
      <w:tr>
        <w:tc>
          <w:tcPr/>
          <w:p>
            <w:pPr>
              <w:pStyle w:val="Compact"/>
              <w:jc w:val="left"/>
            </w:pPr>
            <w:r>
              <w:t xml:space="preserve">2</w:t>
            </w:r>
          </w:p>
        </w:tc>
        <w:tc>
          <w:tcPr/>
          <w:p>
            <w:pPr>
              <w:pStyle w:val="Compact"/>
              <w:jc w:val="left"/>
            </w:pPr>
            <w:r>
              <w:t xml:space="preserve">Drafting and filing of the statement of claim / petition before the Ankara Civil Court</w:t>
            </w:r>
          </w:p>
        </w:tc>
        <w:tc>
          <w:tcPr/>
          <w:p>
            <w:pPr>
              <w:pStyle w:val="Compact"/>
              <w:jc w:val="left"/>
            </w:pPr>
            <w:r>
              <w:t xml:space="preserve">TRY 8,500.00</w:t>
            </w:r>
          </w:p>
        </w:tc>
        <w:tc>
          <w:tcPr/>
          <w:p>
            <w:pPr>
              <w:pStyle w:val="Compact"/>
              <w:jc w:val="left"/>
            </w:pPr>
            <w:r>
              <w:t xml:space="preserve">6 hours</w:t>
            </w:r>
          </w:p>
        </w:tc>
        <w:tc>
          <w:tcPr/>
          <w:p>
            <w:pPr>
              <w:pStyle w:val="Compact"/>
              <w:jc w:val="left"/>
            </w:pPr>
            <w:r>
              <w:t xml:space="preserve">Includes court filing fee of TRY 1,200.00</w:t>
            </w:r>
          </w:p>
        </w:tc>
      </w:tr>
      <w:tr>
        <w:tc>
          <w:tcPr/>
          <w:p>
            <w:pPr>
              <w:pStyle w:val="Compact"/>
              <w:jc w:val="left"/>
            </w:pPr>
            <w:r>
              <w:t xml:space="preserve">3</w:t>
            </w:r>
          </w:p>
        </w:tc>
        <w:tc>
          <w:tcPr/>
          <w:p>
            <w:pPr>
              <w:pStyle w:val="Compact"/>
              <w:jc w:val="left"/>
            </w:pPr>
            <w:r>
              <w:t xml:space="preserve">Representation at all court hearings in Turkey Ankara (up to 5 sessions)</w:t>
            </w:r>
          </w:p>
        </w:tc>
        <w:tc>
          <w:tcPr/>
          <w:p>
            <w:pPr>
              <w:pStyle w:val="Compact"/>
              <w:jc w:val="left"/>
            </w:pPr>
            <w:r>
              <w:t xml:space="preserve">TRY 4,000.00 per session</w:t>
            </w:r>
          </w:p>
        </w:tc>
        <w:tc>
          <w:tcPr/>
          <w:p>
            <w:pPr>
              <w:pStyle w:val="Compact"/>
              <w:jc w:val="left"/>
            </w:pPr>
            <w:r>
              <w:t xml:space="preserve">3 hrs/session</w:t>
            </w:r>
          </w:p>
        </w:tc>
        <w:tc>
          <w:tcPr/>
          <w:p>
            <w:pPr>
              <w:pStyle w:val="Compact"/>
              <w:jc w:val="left"/>
            </w:pPr>
            <w:r>
              <w:t xml:space="preserve">Travel within Ankara metropolitan area included</w:t>
            </w:r>
          </w:p>
        </w:tc>
      </w:tr>
      <w:tr>
        <w:tc>
          <w:tcPr/>
          <w:p>
            <w:pPr>
              <w:pStyle w:val="Compact"/>
              <w:jc w:val="left"/>
            </w:pPr>
            <w:r>
              <w:t xml:space="preserve">4</w:t>
            </w:r>
          </w:p>
        </w:tc>
        <w:tc>
          <w:tcPr/>
          <w:p>
            <w:pPr>
              <w:pStyle w:val="Compact"/>
              <w:jc w:val="left"/>
            </w:pPr>
            <w:r>
              <w:t xml:space="preserve">Preparation of legal memoranda, evidence compilation, and expert witness coordination</w:t>
            </w:r>
          </w:p>
        </w:tc>
        <w:tc>
          <w:tcPr/>
          <w:p>
            <w:pPr>
              <w:pStyle w:val="Compact"/>
              <w:jc w:val="left"/>
            </w:pPr>
            <w:r>
              <w:t xml:space="preserve">TRY 6,000.00</w:t>
            </w:r>
          </w:p>
        </w:tc>
        <w:tc>
          <w:tcPr/>
          <w:p>
            <w:pPr>
              <w:pStyle w:val="Compact"/>
              <w:jc w:val="left"/>
            </w:pPr>
            <w:r>
              <w:t xml:space="preserve">8 hours</w:t>
            </w:r>
          </w:p>
        </w:tc>
        <w:tc>
          <w:tcPr/>
          <w:p>
            <w:pPr>
              <w:pStyle w:val="Compact"/>
              <w:jc w:val="left"/>
            </w:pPr>
            <w:r>
              <w:t xml:space="preserve">Covers up to 3 expert reports</w:t>
            </w:r>
          </w:p>
        </w:tc>
      </w:tr>
      <w:tr>
        <w:tc>
          <w:tcPr/>
          <w:p>
            <w:pPr>
              <w:pStyle w:val="Compact"/>
              <w:jc w:val="left"/>
            </w:pPr>
            <w:r>
              <w:t xml:space="preserve">5</w:t>
            </w:r>
          </w:p>
        </w:tc>
        <w:tc>
          <w:tcPr/>
          <w:p>
            <w:pPr>
              <w:pStyle w:val="Compact"/>
              <w:jc w:val="left"/>
            </w:pPr>
            <w:r>
              <w:t xml:space="preserve">Settlement negotiation and drafting of settlement agreement</w:t>
            </w:r>
          </w:p>
        </w:tc>
        <w:tc>
          <w:tcPr/>
          <w:p>
            <w:pPr>
              <w:pStyle w:val="Compact"/>
              <w:jc w:val="left"/>
            </w:pPr>
            <w:r>
              <w:t xml:space="preserve">TRY 5,000.00</w:t>
            </w:r>
          </w:p>
        </w:tc>
        <w:tc>
          <w:tcPr/>
          <w:p>
            <w:pPr>
              <w:pStyle w:val="Compact"/>
              <w:jc w:val="left"/>
            </w:pPr>
            <w:r>
              <w:t xml:space="preserve">4 hours</w:t>
            </w:r>
          </w:p>
        </w:tc>
        <w:tc>
          <w:tcPr/>
          <w:p>
            <w:pPr>
              <w:pStyle w:val="Compact"/>
              <w:jc w:val="left"/>
            </w:pPr>
            <w:r>
              <w:t xml:space="preserve">Contingent on both parties' willingness</w:t>
            </w:r>
          </w:p>
        </w:tc>
      </w:tr>
      <w:tr>
        <w:tc>
          <w:tcPr/>
          <w:p>
            <w:pPr>
              <w:pStyle w:val="Compact"/>
              <w:jc w:val="left"/>
            </w:pPr>
            <w:r>
              <w:t xml:space="preserve">6</w:t>
            </w:r>
          </w:p>
        </w:tc>
        <w:tc>
          <w:tcPr/>
          <w:p>
            <w:pPr>
              <w:pStyle w:val="Compact"/>
              <w:jc w:val="left"/>
            </w:pPr>
            <w:r>
              <w:t xml:space="preserve">Appeal preparation and representation before the Ankara Regional Court of Appeal (Bölge Adliye Mahkemesi)</w:t>
            </w:r>
          </w:p>
        </w:tc>
        <w:tc>
          <w:tcPr/>
          <w:p>
            <w:pPr>
              <w:pStyle w:val="Compact"/>
              <w:jc w:val="left"/>
            </w:pPr>
            <w:r>
              <w:t xml:space="preserve">TRY 12,000.00</w:t>
            </w:r>
          </w:p>
        </w:tc>
        <w:tc>
          <w:tcPr/>
          <w:p>
            <w:pPr>
              <w:pStyle w:val="Compact"/>
              <w:jc w:val="left"/>
            </w:pPr>
            <w:r>
              <w:t xml:space="preserve">10 hours</w:t>
            </w:r>
          </w:p>
        </w:tc>
        <w:tc>
          <w:tcPr/>
          <w:p>
            <w:pPr>
              <w:pStyle w:val="Compact"/>
              <w:jc w:val="left"/>
            </w:pPr>
            <w:r>
              <w:t xml:space="preserve">Includes appellate filing fees</w:t>
            </w:r>
          </w:p>
        </w:tc>
      </w:tr>
      <w:tr>
        <w:tc>
          <w:tcPr/>
          <w:p>
            <w:pPr>
              <w:pStyle w:val="Compact"/>
              <w:jc w:val="left"/>
            </w:pPr>
            <w:r>
              <w:t xml:space="preserve">7</w:t>
            </w:r>
          </w:p>
        </w:tc>
        <w:tc>
          <w:tcPr/>
          <w:p>
            <w:pPr>
              <w:pStyle w:val="Compact"/>
              <w:jc w:val="left"/>
            </w:pPr>
            <w:r>
              <w:t xml:space="preserve">Post-judgment enforcement proceedings and execution (İcra) before Ankara Enforcement Office</w:t>
            </w:r>
          </w:p>
        </w:tc>
        <w:tc>
          <w:tcPr/>
          <w:p>
            <w:pPr>
              <w:pStyle w:val="Compact"/>
              <w:jc w:val="left"/>
            </w:pPr>
            <w:r>
              <w:t xml:space="preserve">TRY 7,500.00</w:t>
            </w:r>
          </w:p>
        </w:tc>
        <w:tc>
          <w:tcPr/>
          <w:p>
            <w:pPr>
              <w:pStyle w:val="Compact"/>
              <w:jc w:val="left"/>
            </w:pPr>
            <w:r>
              <w:t xml:space="preserve">6 hours</w:t>
            </w:r>
          </w:p>
        </w:tc>
        <w:tc>
          <w:tcPr/>
          <w:p>
            <w:pPr>
              <w:pStyle w:val="Compact"/>
              <w:jc w:val="left"/>
            </w:pPr>
            <w:r>
              <w:t xml:space="preserve">Includes enforcement petition and follow-up</w:t>
            </w:r>
          </w:p>
        </w:tc>
      </w:tr>
      <w:tr>
        <w:tc>
          <w:tcPr/>
          <w:p>
            <w:pPr>
              <w:pStyle w:val="Compact"/>
              <w:jc w:val="left"/>
            </w:pPr>
            <w:r>
              <w:t xml:space="preserve">8</w:t>
            </w:r>
          </w:p>
        </w:tc>
        <w:tc>
          <w:tcPr/>
          <w:p>
            <w:pPr>
              <w:pStyle w:val="Compact"/>
              <w:jc w:val="left"/>
            </w:pPr>
            <w:r>
              <w:t xml:space="preserve">Hourly consultation and correspondence (beyond included hours)</w:t>
            </w:r>
          </w:p>
        </w:tc>
        <w:tc>
          <w:tcPr/>
          <w:p>
            <w:pPr>
              <w:pStyle w:val="Compact"/>
              <w:jc w:val="left"/>
            </w:pPr>
            <w:r>
              <w:t xml:space="preserve">TRY 1,200.00 / hour</w:t>
            </w:r>
          </w:p>
        </w:tc>
        <w:tc>
          <w:tcPr/>
          <w:p>
            <w:pPr>
              <w:pStyle w:val="Compact"/>
              <w:jc w:val="left"/>
            </w:pPr>
            <w:r>
              <w:t xml:space="preserve">As required</w:t>
            </w:r>
          </w:p>
        </w:tc>
        <w:tc>
          <w:tcPr/>
          <w:p>
            <w:pPr>
              <w:pStyle w:val="Compact"/>
              <w:jc w:val="left"/>
            </w:pPr>
            <w:r>
              <w:t xml:space="preserve">Minimum billing increment: 30 minutes</w:t>
            </w:r>
          </w:p>
        </w:tc>
      </w:tr>
      <w:tr>
        <w:tc>
          <w:tcPr>
            <w:gridSpan w:val="2"/>
          </w:tcPr>
          <w:p>
            <w:pPr>
              <w:pStyle w:val="Compact"/>
              <w:jc w:val="left"/>
            </w:pPr>
            <w:r>
              <w:rPr>
                <w:bCs/>
                <w:b/>
              </w:rPr>
              <w:t xml:space="preserve">Estimated Total Professional Fees (excluding VAT)</w:t>
            </w:r>
          </w:p>
        </w:tc>
        <w:tc>
          <w:tcPr/>
          <w:p>
            <w:pPr>
              <w:pStyle w:val="Compact"/>
              <w:jc w:val="left"/>
            </w:pPr>
            <w:r>
              <w:rPr>
                <w:bCs/>
                <w:b/>
              </w:rPr>
              <w:t xml:space="preserve">TRY 61,000.00</w:t>
            </w:r>
          </w:p>
        </w:tc>
        <w:tc>
          <w:tcPr>
            <w:gridSpan w:val="2"/>
          </w:tcPr>
          <w:p>
            <w:pPr>
              <w:pStyle w:val="Compact"/>
              <w:jc w:val="left"/>
            </w:pPr>
            <w:r>
              <w:rPr>
                <w:bCs/>
                <w:b/>
              </w:rPr>
              <w:t xml:space="preserve">Plus 20% KDV (VAT): TRY 12,200.00</w:t>
            </w:r>
          </w:p>
        </w:tc>
      </w:tr>
      <w:tr>
        <w:tc>
          <w:tcPr>
            <w:gridSpan w:val="2"/>
          </w:tcPr>
          <w:p>
            <w:pPr>
              <w:pStyle w:val="Compact"/>
              <w:jc w:val="left"/>
            </w:pPr>
            <w:r>
              <w:rPr>
                <w:bCs/>
                <w:b/>
              </w:rPr>
              <w:t xml:space="preserve">GRAND TOTAL (VAT Inclusive)</w:t>
            </w:r>
          </w:p>
        </w:tc>
        <w:tc>
          <w:tcPr>
            <w:gridSpan w:val="3"/>
          </w:tcPr>
          <w:p>
            <w:pPr>
              <w:pStyle w:val="Compact"/>
              <w:jc w:val="left"/>
            </w:pPr>
            <w:r>
              <w:rPr>
                <w:bCs/>
                <w:b/>
              </w:rPr>
              <w:t xml:space="preserve">TRY 73,200.00</w:t>
            </w:r>
          </w:p>
        </w:tc>
      </w:tr>
    </w:tbl>
    <w:bookmarkEnd w:id="24"/>
    <w:bookmarkStart w:id="25" w:name="additional-costs-and-disbursements"/>
    <w:p>
      <w:pPr>
        <w:pStyle w:val="Heading2"/>
      </w:pPr>
      <w:r>
        <w:t xml:space="preserve">3. Additional Costs and Disbursements</w:t>
      </w:r>
    </w:p>
    <w:p>
      <w:pPr>
        <w:pStyle w:val="FirstParagraph"/>
      </w:pPr>
      <w:r>
        <w:t xml:space="preserve">The following costs are not included in the professional fee schedule above and will be billed at actual expense upon reimbursement. The</w:t>
      </w:r>
      <w:r>
        <w:t xml:space="preserve"> </w:t>
      </w:r>
      <w:r>
        <w:t xml:space="preserve">Lawyer</w:t>
      </w:r>
      <w:r>
        <w:t xml:space="preserve"> </w:t>
      </w:r>
      <w:r>
        <w:t xml:space="preserve">will provide itemized receipts for all disbursements incurred on behalf of the client in</w:t>
      </w:r>
      <w:r>
        <w:t xml:space="preserve"> </w:t>
      </w:r>
      <w:r>
        <w:t xml:space="preserve">Turkey Ankara</w:t>
      </w:r>
      <w:r>
        <w:t xml:space="preserve">:</w:t>
      </w:r>
    </w:p>
    <w:p>
      <w:pPr>
        <w:numPr>
          <w:ilvl w:val="0"/>
          <w:numId w:val="1001"/>
        </w:numPr>
        <w:pStyle w:val="Compact"/>
      </w:pPr>
      <w:r>
        <w:t xml:space="preserve">Court registration fees and stamp duties (Harç ve Harcamalar) as determined by the relevant Ankara court;</w:t>
      </w:r>
    </w:p>
    <w:p>
      <w:pPr>
        <w:numPr>
          <w:ilvl w:val="0"/>
          <w:numId w:val="1001"/>
        </w:numPr>
        <w:pStyle w:val="Compact"/>
      </w:pPr>
      <w:r>
        <w:t xml:space="preserve">Notary public fees for document authentication and power of attorney execution;</w:t>
      </w:r>
    </w:p>
    <w:p>
      <w:pPr>
        <w:numPr>
          <w:ilvl w:val="0"/>
          <w:numId w:val="1001"/>
        </w:numPr>
        <w:pStyle w:val="Compact"/>
      </w:pPr>
      <w:r>
        <w:t xml:space="preserve">Translation and certified translation costs (Turkish to English or other languages) required by the court;</w:t>
      </w:r>
    </w:p>
    <w:p>
      <w:pPr>
        <w:numPr>
          <w:ilvl w:val="0"/>
          <w:numId w:val="1001"/>
        </w:numPr>
        <w:pStyle w:val="Compact"/>
      </w:pPr>
      <w:r>
        <w:t xml:space="preserve">Expert witness fees and appraisal costs ordered by the court;</w:t>
      </w:r>
    </w:p>
    <w:p>
      <w:pPr>
        <w:numPr>
          <w:ilvl w:val="0"/>
          <w:numId w:val="1001"/>
        </w:numPr>
        <w:pStyle w:val="Compact"/>
      </w:pPr>
      <w:r>
        <w:t xml:space="preserve">Inter-city travel expenses if proceedings extend beyond the Ankara metropolitan area (e.g., Istanbul Court of Cassation);</w:t>
      </w:r>
    </w:p>
    <w:p>
      <w:pPr>
        <w:numPr>
          <w:ilvl w:val="0"/>
          <w:numId w:val="1001"/>
        </w:numPr>
        <w:pStyle w:val="Compact"/>
      </w:pPr>
      <w:r>
        <w:t xml:space="preserve">Document reproduction, courier, and postal service charges.</w:t>
      </w:r>
    </w:p>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Upon expiration, the</w:t>
      </w:r>
      <w:r>
        <w:t xml:space="preserve"> </w:t>
      </w:r>
      <w:r>
        <w:t xml:space="preserve">Lawyer</w:t>
      </w:r>
      <w:r>
        <w:t xml:space="preserve"> </w:t>
      </w:r>
      <w:r>
        <w:t xml:space="preserve">reserves the right to revise fees based on current Ankara Bar Association minimum fee schedules and market conditions in</w:t>
      </w:r>
      <w:r>
        <w:t xml:space="preserve"> </w:t>
      </w:r>
      <w:r>
        <w:t xml:space="preserve">Turkey Ankara</w:t>
      </w:r>
      <w:r>
        <w:t xml:space="preserve">.</w:t>
      </w:r>
    </w:p>
    <w:p>
      <w:pPr>
        <w:numPr>
          <w:ilvl w:val="0"/>
          <w:numId w:val="1002"/>
        </w:numPr>
        <w:pStyle w:val="Compact"/>
      </w:pPr>
      <w:r>
        <w:t xml:space="preserve">Payment of a non-refundable retainer fee equal to 40% of the estimated total (TRY 29,280.00) is required to formally engage the</w:t>
      </w:r>
      <w:r>
        <w:t xml:space="preserve"> </w:t>
      </w:r>
      <w:r>
        <w:t xml:space="preserve">Lawyer</w:t>
      </w:r>
      <w:r>
        <w:t xml:space="preserve"> </w:t>
      </w:r>
      <w:r>
        <w:t xml:space="preserve">and commence work. The remaining balance shall be invoiced in monthly installments or upon completion of each major milestone as outlined in Section 2.</w:t>
      </w:r>
    </w:p>
    <w:p>
      <w:pPr>
        <w:numPr>
          <w:ilvl w:val="0"/>
          <w:numId w:val="1002"/>
        </w:numPr>
        <w:pStyle w:val="Compact"/>
      </w:pPr>
      <w:r>
        <w:t xml:space="preserve">All fees stated in this</w:t>
      </w:r>
      <w:r>
        <w:t xml:space="preserve"> </w:t>
      </w:r>
      <w:r>
        <w:t xml:space="preserve">Quotation Estimate</w:t>
      </w:r>
      <w:r>
        <w:t xml:space="preserve"> </w:t>
      </w:r>
      <w:r>
        <w:t xml:space="preserve">are subject to the applicable 20% Value Added Tax (KDV) in accordance with Turkish tax law. Invoices will be issued in Turkish Lira (TRY) by the Ankara-registered law firm.</w:t>
      </w:r>
    </w:p>
    <w:p>
      <w:pPr>
        <w:numPr>
          <w:ilvl w:val="0"/>
          <w:numId w:val="1002"/>
        </w:numPr>
        <w:pStyle w:val="Compact"/>
      </w:pPr>
      <w:r>
        <w:t xml:space="preserve">The</w:t>
      </w:r>
      <w:r>
        <w:t xml:space="preserve"> </w:t>
      </w:r>
      <w:r>
        <w:t xml:space="preserve">Lawyer</w:t>
      </w:r>
      <w:r>
        <w:t xml:space="preserve"> </w:t>
      </w:r>
      <w:r>
        <w:t xml:space="preserve">shall maintain strict professional confidentiality in accordance with the Turkish Code of Obligations (Türk Borçlar Kanunu) and the Ankara Bar Association's Code of Professional Ethics. All case materials and client communications shall be treated as privileged and confidential.</w:t>
      </w:r>
    </w:p>
    <w:p>
      <w:pPr>
        <w:numPr>
          <w:ilvl w:val="0"/>
          <w:numId w:val="1002"/>
        </w:numPr>
        <w:pStyle w:val="Compact"/>
      </w:pPr>
      <w:r>
        <w:t xml:space="preserve">This</w:t>
      </w:r>
      <w:r>
        <w:t xml:space="preserve"> </w:t>
      </w:r>
      <w:r>
        <w:t xml:space="preserve">Quotation Estimate</w:t>
      </w:r>
      <w:r>
        <w:t xml:space="preserve"> </w:t>
      </w:r>
      <w:r>
        <w:t xml:space="preserve">does not constitute a guarantee of outcome. The</w:t>
      </w:r>
      <w:r>
        <w:t xml:space="preserve"> </w:t>
      </w:r>
      <w:r>
        <w:t xml:space="preserve">Lawyer</w:t>
      </w:r>
      <w:r>
        <w:t xml:space="preserve"> </w:t>
      </w:r>
      <w:r>
        <w:t xml:space="preserve">shall exercise the highest degree of professional diligence and competence in representing the client's interests before all courts and authorities in</w:t>
      </w:r>
      <w:r>
        <w:t xml:space="preserve"> </w:t>
      </w:r>
      <w:r>
        <w:t xml:space="preserve">Turkey Ankara</w:t>
      </w:r>
      <w:r>
        <w:t xml:space="preserve">.</w:t>
      </w:r>
    </w:p>
    <w:p>
      <w:pPr>
        <w:numPr>
          <w:ilvl w:val="0"/>
          <w:numId w:val="1002"/>
        </w:numPr>
        <w:pStyle w:val="Compact"/>
      </w:pPr>
      <w:r>
        <w:t xml:space="preserve">Any dispute arising from the interpretation or performance of this engagement shall be subject to the exclusive jurisdiction of the Ankara courts and the laws of the Republic of Turkey.</w:t>
      </w:r>
    </w:p>
    <w:p>
      <w:pPr>
        <w:numPr>
          <w:ilvl w:val="0"/>
          <w:numId w:val="1002"/>
        </w:numPr>
        <w:pStyle w:val="Compact"/>
      </w:pPr>
      <w:r>
        <w:t xml:space="preserve">The client may terminate the engagement at any time by providing fourteen (14) days' written notice. In such case, fees for work already performed and non-recoverable disbursements shall remain payable.</w:t>
      </w:r>
    </w:p>
    <w:p>
      <w:pPr>
        <w:numPr>
          <w:ilvl w:val="0"/>
          <w:numId w:val="1002"/>
        </w:numPr>
        <w:pStyle w:val="Compact"/>
      </w:pPr>
      <w:r>
        <w:t xml:space="preserve">This</w:t>
      </w:r>
      <w:r>
        <w:t xml:space="preserve"> </w:t>
      </w:r>
      <w:r>
        <w:t xml:space="preserve">Quotation Estimate</w:t>
      </w:r>
      <w:r>
        <w:t xml:space="preserve"> </w:t>
      </w:r>
      <w:r>
        <w:t xml:space="preserve">is prepared exclusively for the named client and may not be transferred, assigned, or relied upon by any third party without the prior written consent of Kaya &amp; Partners Legal Consultancy.</w:t>
      </w:r>
    </w:p>
    <w:p>
      <w:pPr>
        <w:pStyle w:val="FirstParagraph"/>
      </w:pPr>
      <w:r>
        <w:rPr>
          <w:bCs/>
          <w:b/>
        </w:rPr>
        <w:t xml:space="preserve">Important Note:</w:t>
      </w:r>
      <w:r>
        <w:t xml:space="preserve"> </w:t>
      </w:r>
      <w:r>
        <w:t xml:space="preserve">This Quotation Estimate is a good-faith projection of anticipated costs based on the current scope of work. Actual fees may vary depending on the complexity of the case, the number of court sessions required, the volume of documentation, and any unforeseen procedural developments in the Ankara court system. The Lawyer will notify the client in writing of any material deviation from this estimate before incurring additional charges.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the fee structure, and authorizes the engagement of the</w:t>
      </w:r>
      <w:r>
        <w:t xml:space="preserve"> </w:t>
      </w:r>
      <w:r>
        <w:t xml:space="preserve">Lawyer</w:t>
      </w:r>
      <w:r>
        <w:t xml:space="preserve"> </w:t>
      </w:r>
      <w:r>
        <w:t xml:space="preserve">and legal team of Kaya &amp; Partners Legal Consultancy to provide the services described herein in</w:t>
      </w:r>
      <w:r>
        <w:t xml:space="preserve"> </w:t>
      </w:r>
      <w:r>
        <w:t xml:space="preserve">Turkey Ankara</w:t>
      </w:r>
      <w:r>
        <w:t xml:space="preserve">.</w:t>
      </w:r>
    </w:p>
    <w:p>
      <w:pPr>
        <w:pStyle w:val="BodyText"/>
      </w:pPr>
      <w:r>
        <w:rPr>
          <w:bCs/>
          <w:b/>
        </w:rPr>
        <w:t xml:space="preserve">For and on behalf of Kaya &amp; Partners Legal Consultancy</w:t>
      </w:r>
    </w:p>
    <w:p>
      <w:pPr>
        <w:pStyle w:val="BodyText"/>
      </w:pPr>
      <w:r>
        <w:t xml:space="preserve">Av. Mehmet Kaya, Esq.</w:t>
      </w:r>
    </w:p>
    <w:p>
      <w:pPr>
        <w:pStyle w:val="BodyText"/>
      </w:pPr>
      <w:r>
        <w:t xml:space="preserve">Senior Partner / Attorney at Law</w:t>
      </w:r>
    </w:p>
    <w:p>
      <w:pPr>
        <w:pStyle w:val="BodyText"/>
      </w:pPr>
      <w:r>
        <w:t xml:space="preserve">Ankara Bar Association No. 12847</w:t>
      </w:r>
    </w:p>
    <w:p>
      <w:pPr>
        <w:pStyle w:val="BodyText"/>
      </w:pPr>
      <w:r>
        <w:t xml:space="preserve">Date: _______________</w:t>
      </w:r>
    </w:p>
    <w:p>
      <w:pPr>
        <w:pStyle w:val="BodyText"/>
      </w:pPr>
      <w:r>
        <w:rPr>
          <w:bCs/>
          <w:b/>
        </w:rPr>
        <w:t xml:space="preserve">Client Acknowledgment and Acceptance</w:t>
      </w:r>
    </w:p>
    <w:p>
      <w:pPr>
        <w:pStyle w:val="BodyText"/>
      </w:pPr>
      <w:r>
        <w:t xml:space="preserve">Name: ___________________________</w:t>
      </w:r>
    </w:p>
    <w:p>
      <w:pPr>
        <w:pStyle w:val="BodyText"/>
      </w:pPr>
      <w:r>
        <w:t xml:space="preserve">Signature: ___________________________</w:t>
      </w:r>
    </w:p>
    <w:p>
      <w:pPr>
        <w:pStyle w:val="BodyText"/>
      </w:pPr>
      <w:r>
        <w:t xml:space="preserve">Title (if corporate): _______________</w:t>
      </w:r>
    </w:p>
    <w:p>
      <w:pPr>
        <w:pStyle w:val="BodyText"/>
      </w:pPr>
      <w:r>
        <w:t xml:space="preserve">Date: _______________</w:t>
      </w:r>
    </w:p>
    <w:p>
      <w:pPr>
        <w:pStyle w:val="BodyText"/>
      </w:pPr>
      <w:r>
        <w:t xml:space="preserve">Kaya &amp; Partners Legal Consultancy — Kızılay, Çankaya, Ankara, Turkey — +90 (312) 445 6789 — info@kayapartners-law.com.tr</w:t>
      </w:r>
    </w:p>
    <w:p>
      <w:pPr>
        <w:pStyle w:val="BodyText"/>
      </w:pPr>
      <w:r>
        <w:t xml:space="preserve">This Quotation Estimate document QE-2025-ANK-0347 is the property of Kaya &amp; Partners Legal Consultancy. Unauthorized reproduction or distribution is prohibited under Turkish intellectual property law.</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Turkey Ankara</dc:title>
  <dc:creator/>
  <dc:language>en</dc:language>
  <cp:keywords/>
  <dcterms:created xsi:type="dcterms:W3CDTF">2026-10-10T09:08:14Z</dcterms:created>
  <dcterms:modified xsi:type="dcterms:W3CDTF">2026-10-10T09:08:14Z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