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0" w:name="quotation-estimate"/>
    <w:p>
      <w:pPr>
        <w:pStyle w:val="Heading1"/>
      </w:pPr>
      <w:r>
        <w:t xml:space="preserve">QUOTATION ESTIMATE</w:t>
      </w:r>
    </w:p>
    <w:p>
      <w:pPr>
        <w:pStyle w:val="FirstParagraph"/>
      </w:pPr>
      <w:r>
        <w:t xml:space="preserve">Professional Legal Services — Lawyer Consultation &amp; Representation</w:t>
      </w:r>
    </w:p>
    <w:p>
      <w:pPr>
        <w:pStyle w:val="BodyText"/>
      </w:pPr>
      <w:r>
        <w:t xml:space="preserve">United Arab Emirates • Abu Dhabi</w:t>
      </w:r>
    </w:p>
    <w:bookmarkEnd w:id="20"/>
    <w:bookmarkStart w:id="21" w:name="issued-by-lawyer-firm"/>
    <w:p>
      <w:pPr>
        <w:pStyle w:val="Heading3"/>
      </w:pPr>
      <w:r>
        <w:t xml:space="preserve">Issued By (Lawyer / Firm)</w:t>
      </w:r>
    </w:p>
    <w:p>
      <w:pPr>
        <w:pStyle w:val="FirstParagraph"/>
      </w:pPr>
      <w:r>
        <w:rPr>
          <w:bCs/>
          <w:b/>
        </w:rPr>
        <w:t xml:space="preserve">Al Noor Legal Consultancy LLC</w:t>
      </w:r>
      <w:r>
        <w:br/>
      </w:r>
      <w:r>
        <w:t xml:space="preserve">P.O. Box 4521, Al Markaziyah District</w:t>
      </w:r>
      <w:r>
        <w:br/>
      </w:r>
      <w:r>
        <w:t xml:space="preserve">Abu Dhabi, United Arab Emirates</w:t>
      </w:r>
      <w:r>
        <w:br/>
      </w:r>
      <w:r>
        <w:t xml:space="preserve">Tel: +971 2 445 6789</w:t>
      </w:r>
      <w:r>
        <w:br/>
      </w:r>
      <w:r>
        <w:t xml:space="preserve">Email: legal@alnoorlaw.ae</w:t>
      </w:r>
      <w:r>
        <w:br/>
      </w:r>
      <w:r>
        <w:t xml:space="preserve">License No.: UAE-ABH-2019-00482</w:t>
      </w:r>
      <w:r>
        <w:br/>
      </w:r>
      <w:r>
        <w:t xml:space="preserve">Bar Registration: Abu Dhabi Bar Association</w:t>
      </w:r>
    </w:p>
    <w:bookmarkEnd w:id="21"/>
    <w:bookmarkStart w:id="22" w:name="prepared-for-client"/>
    <w:p>
      <w:pPr>
        <w:pStyle w:val="Heading3"/>
      </w:pPr>
      <w:r>
        <w:t xml:space="preserve">Prepared For (Client)</w:t>
      </w:r>
    </w:p>
    <w:p>
      <w:pPr>
        <w:pStyle w:val="FirstParagraph"/>
      </w:pPr>
      <w:r>
        <w:rPr>
          <w:bCs/>
          <w:b/>
        </w:rPr>
        <w:t xml:space="preserve">Mr. Khalid bin Rashid Al Maktoum</w:t>
      </w:r>
      <w:r>
        <w:br/>
      </w:r>
      <w:r>
        <w:t xml:space="preserve">P.O. Box 7834, Al Reem Island</w:t>
      </w:r>
      <w:r>
        <w:br/>
      </w:r>
      <w:r>
        <w:t xml:space="preserve">Abu Dhabi, United Arab Emirates</w:t>
      </w:r>
      <w:r>
        <w:br/>
      </w:r>
      <w:r>
        <w:t xml:space="preserve">Tel: +971 50 123 4567</w:t>
      </w:r>
      <w:r>
        <w:br/>
      </w:r>
      <w:r>
        <w:t xml:space="preserve">Email: khalid.maktoum@email.ae</w:t>
      </w:r>
      <w:r>
        <w:br/>
      </w:r>
      <w:r>
        <w:t xml:space="preserve">Emirates ID: 784-1990-0012345-1</w:t>
      </w:r>
    </w:p>
    <w:bookmarkEnd w:id="22"/>
    <w:p>
      <w:pPr>
        <w:pStyle w:val="BodyText"/>
      </w:pPr>
      <w:r>
        <w:rPr>
          <w:bCs/>
          <w:b/>
        </w:rPr>
        <w:t xml:space="preserve">Quotation Estimate Reference No.:</w:t>
      </w:r>
      <w:r>
        <w:t xml:space="preserve"> </w:t>
      </w:r>
      <w:r>
        <w:t xml:space="preserve">QE-ABH-2025-00347</w:t>
      </w:r>
    </w:p>
    <w:p>
      <w:pPr>
        <w:pStyle w:val="BodyText"/>
      </w:pPr>
      <w:r>
        <w:rPr>
          <w:bCs/>
          <w:b/>
        </w:rPr>
        <w:t xml:space="preserve">Date of Issue:</w:t>
      </w:r>
      <w:r>
        <w:t xml:space="preserve"> </w:t>
      </w:r>
      <w:r>
        <w:t xml:space="preserve">14 June 2025</w:t>
      </w:r>
    </w:p>
    <w:p>
      <w:pPr>
        <w:pStyle w:val="BodyText"/>
      </w:pPr>
      <w:r>
        <w:rPr>
          <w:bCs/>
          <w:b/>
        </w:rPr>
        <w:t xml:space="preserve">Validity Period:</w:t>
      </w:r>
      <w:r>
        <w:t xml:space="preserve"> </w:t>
      </w:r>
      <w:r>
        <w:t xml:space="preserve">30 calendar days from the date of issue (expires 14 July 2025)</w:t>
      </w:r>
    </w:p>
    <w:p>
      <w:pPr>
        <w:pStyle w:val="BodyText"/>
      </w:pPr>
      <w:r>
        <w:rPr>
          <w:bCs/>
          <w:b/>
        </w:rPr>
        <w:t xml:space="preserve">Jurisdiction:</w:t>
      </w:r>
      <w:r>
        <w:t xml:space="preserve"> </w:t>
      </w:r>
      <w:r>
        <w:t xml:space="preserve">Courts of Abu Dhabi, United Arab Emirates</w:t>
      </w:r>
    </w:p>
    <w:p>
      <w:pPr>
        <w:pStyle w:val="BodyText"/>
      </w:pPr>
      <w:r>
        <w:rPr>
          <w:bCs/>
          <w:b/>
        </w:rPr>
        <w:t xml:space="preserve">Applicable Law:</w:t>
      </w:r>
      <w:r>
        <w:t xml:space="preserve"> </w:t>
      </w:r>
      <w:r>
        <w:t xml:space="preserve">Federal Laws of the United Arab Emirates and Abu Dhabi Local Regulations</w:t>
      </w:r>
    </w:p>
    <w:bookmarkStart w:id="23" w:name="X24e7dbe09b6314ff85fffa1342e612757954600"/>
    <w:p>
      <w:pPr>
        <w:pStyle w:val="Heading2"/>
      </w:pPr>
      <w:r>
        <w:t xml:space="preserve">1. Scope of Legal Services (Lawyer Engagement)</w:t>
      </w:r>
    </w:p>
    <w:p>
      <w:pPr>
        <w:pStyle w:val="FirstParagraph"/>
      </w:pPr>
      <w:r>
        <w:t xml:space="preserve">This Quotation Estimate is issued by the undersigned Lawyer and legal firm, Al Noor Legal Consultancy LLC, duly registered and licensed to practice law in the Emirate of Abu Dhabi, United Arab Emirates. The following scope of professional legal services has been prepared in response to the client's request for comprehensive legal representation and advisory in matters pertaining to commercial contract disputes, corporate governance compliance, and regulatory filings before the Abu Dhabi Courts and the Department of Economic Development (DED) of Abu Dhabi.</w:t>
      </w:r>
    </w:p>
    <w:p>
      <w:pPr>
        <w:pStyle w:val="BodyText"/>
      </w:pPr>
      <w:r>
        <w:t xml:space="preserve">The Lawyer engaged under this Quotation Estimate shall provide the following services throughout the duration of the engagement in Abu Dhabi, United Arab Emirates: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Legal Service</w:t>
            </w:r>
          </w:p>
        </w:tc>
        <w:tc>
          <w:tcPr/>
          <w:p>
            <w:pPr>
              <w:pStyle w:val="Compact"/>
              <w:jc w:val="left"/>
            </w:pPr>
            <w:r>
              <w:t xml:space="preserve">Estimated Hours</w:t>
            </w:r>
          </w:p>
        </w:tc>
        <w:tc>
          <w:tcPr/>
          <w:p>
            <w:pPr>
              <w:pStyle w:val="Compact"/>
              <w:jc w:val="left"/>
            </w:pPr>
            <w:r>
              <w:t xml:space="preserve">Rate (AED / hr)</w:t>
            </w:r>
          </w:p>
        </w:tc>
        <w:tc>
          <w:tcPr/>
          <w:p>
            <w:pPr>
              <w:pStyle w:val="Compact"/>
              <w:jc w:val="left"/>
            </w:pPr>
            <w:r>
              <w:t xml:space="preserve">Subtotal (AED)</w:t>
            </w:r>
          </w:p>
        </w:tc>
      </w:tr>
      <w:tr>
        <w:tc>
          <w:tcPr/>
          <w:p>
            <w:pPr>
              <w:pStyle w:val="Compact"/>
              <w:jc w:val="left"/>
            </w:pPr>
            <w:r>
              <w:t xml:space="preserve">1</w:t>
            </w:r>
          </w:p>
        </w:tc>
        <w:tc>
          <w:tcPr/>
          <w:p>
            <w:pPr>
              <w:pStyle w:val="Compact"/>
              <w:jc w:val="left"/>
            </w:pPr>
            <w:r>
              <w:t xml:space="preserve">Initial legal consultation and case assessment by the assigned Lawyer in Abu Dhabi, United Arab Emirates</w:t>
            </w:r>
          </w:p>
        </w:tc>
        <w:tc>
          <w:tcPr/>
          <w:p>
            <w:pPr>
              <w:pStyle w:val="Compact"/>
              <w:jc w:val="left"/>
            </w:pPr>
            <w:r>
              <w:t xml:space="preserve">3 hours</w:t>
            </w:r>
          </w:p>
        </w:tc>
        <w:tc>
          <w:tcPr/>
          <w:p>
            <w:pPr>
              <w:pStyle w:val="Compact"/>
              <w:jc w:val="left"/>
            </w:pPr>
            <w:r>
              <w:t xml:space="preserve">1,200</w:t>
            </w:r>
          </w:p>
        </w:tc>
        <w:tc>
          <w:tcPr/>
          <w:p>
            <w:pPr>
              <w:pStyle w:val="Compact"/>
              <w:jc w:val="left"/>
            </w:pPr>
            <w:r>
              <w:t xml:space="preserve">3,600</w:t>
            </w:r>
          </w:p>
        </w:tc>
      </w:tr>
      <w:tr>
        <w:tc>
          <w:tcPr/>
          <w:p>
            <w:pPr>
              <w:pStyle w:val="Compact"/>
              <w:jc w:val="left"/>
            </w:pPr>
            <w:r>
              <w:t xml:space="preserve">2</w:t>
            </w:r>
          </w:p>
        </w:tc>
        <w:tc>
          <w:tcPr/>
          <w:p>
            <w:pPr>
              <w:pStyle w:val="Compact"/>
              <w:jc w:val="left"/>
            </w:pPr>
            <w:r>
              <w:t xml:space="preserve">Drafting, review, and negotiation of commercial contracts under UAE Federal Civil and Commercial Transaction Law (Federal Law No. 5 of 1985)</w:t>
            </w:r>
          </w:p>
        </w:tc>
        <w:tc>
          <w:tcPr/>
          <w:p>
            <w:pPr>
              <w:pStyle w:val="Compact"/>
              <w:jc w:val="left"/>
            </w:pPr>
            <w:r>
              <w:t xml:space="preserve">12 hours</w:t>
            </w:r>
          </w:p>
        </w:tc>
        <w:tc>
          <w:tcPr/>
          <w:p>
            <w:pPr>
              <w:pStyle w:val="Compact"/>
              <w:jc w:val="left"/>
            </w:pPr>
            <w:r>
              <w:t xml:space="preserve">1,200</w:t>
            </w:r>
          </w:p>
        </w:tc>
        <w:tc>
          <w:tcPr/>
          <w:p>
            <w:pPr>
              <w:pStyle w:val="Compact"/>
              <w:jc w:val="left"/>
            </w:pPr>
            <w:r>
              <w:t xml:space="preserve">14,400</w:t>
            </w:r>
          </w:p>
        </w:tc>
      </w:tr>
      <w:tr>
        <w:tc>
          <w:tcPr/>
          <w:p>
            <w:pPr>
              <w:pStyle w:val="Compact"/>
              <w:jc w:val="left"/>
            </w:pPr>
            <w:r>
              <w:t xml:space="preserve">3</w:t>
            </w:r>
          </w:p>
        </w:tc>
        <w:tc>
          <w:tcPr/>
          <w:p>
            <w:pPr>
              <w:pStyle w:val="Compact"/>
              <w:jc w:val="left"/>
            </w:pPr>
            <w:r>
              <w:t xml:space="preserve">Representation before the Abu Dhabi Court of First Instance in commercial dispute proceedings</w:t>
            </w:r>
          </w:p>
        </w:tc>
        <w:tc>
          <w:tcPr/>
          <w:p>
            <w:pPr>
              <w:pStyle w:val="Compact"/>
              <w:jc w:val="left"/>
            </w:pPr>
            <w:r>
              <w:t xml:space="preserve">10 hours</w:t>
            </w:r>
          </w:p>
        </w:tc>
        <w:tc>
          <w:tcPr/>
          <w:p>
            <w:pPr>
              <w:pStyle w:val="Compact"/>
              <w:jc w:val="left"/>
            </w:pPr>
            <w:r>
              <w:t xml:space="preserve">1,500</w:t>
            </w:r>
          </w:p>
        </w:tc>
        <w:tc>
          <w:tcPr/>
          <w:p>
            <w:pPr>
              <w:pStyle w:val="Compact"/>
              <w:jc w:val="left"/>
            </w:pPr>
            <w:r>
              <w:t xml:space="preserve">15,000</w:t>
            </w:r>
          </w:p>
        </w:tc>
      </w:tr>
      <w:tr>
        <w:tc>
          <w:tcPr/>
          <w:p>
            <w:pPr>
              <w:pStyle w:val="Compact"/>
              <w:jc w:val="left"/>
            </w:pPr>
            <w:r>
              <w:t xml:space="preserve">4</w:t>
            </w:r>
          </w:p>
        </w:tc>
        <w:tc>
          <w:tcPr/>
          <w:p>
            <w:pPr>
              <w:pStyle w:val="Compact"/>
              <w:jc w:val="left"/>
            </w:pPr>
            <w:r>
              <w:t xml:space="preserve">Corporate governance advisory and compliance review in accordance with Abu Dhabi DED regulations and UAE Commercial Companies Law (Federal Law No. 32 of 2021)</w:t>
            </w:r>
          </w:p>
        </w:tc>
        <w:tc>
          <w:tcPr/>
          <w:p>
            <w:pPr>
              <w:pStyle w:val="Compact"/>
              <w:jc w:val="left"/>
            </w:pPr>
            <w:r>
              <w:t xml:space="preserve">8 hours</w:t>
            </w:r>
          </w:p>
        </w:tc>
        <w:tc>
          <w:tcPr/>
          <w:p>
            <w:pPr>
              <w:pStyle w:val="Compact"/>
              <w:jc w:val="left"/>
            </w:pPr>
            <w:r>
              <w:t xml:space="preserve">1,200</w:t>
            </w:r>
          </w:p>
        </w:tc>
        <w:tc>
          <w:tcPr/>
          <w:p>
            <w:pPr>
              <w:pStyle w:val="Compact"/>
              <w:jc w:val="left"/>
            </w:pPr>
            <w:r>
              <w:t xml:space="preserve">9,600</w:t>
            </w:r>
          </w:p>
        </w:tc>
      </w:tr>
      <w:tr>
        <w:tc>
          <w:tcPr/>
          <w:p>
            <w:pPr>
              <w:pStyle w:val="Compact"/>
              <w:jc w:val="left"/>
            </w:pPr>
            <w:r>
              <w:t xml:space="preserve">5</w:t>
            </w:r>
          </w:p>
        </w:tc>
        <w:tc>
          <w:tcPr/>
          <w:p>
            <w:pPr>
              <w:pStyle w:val="Compact"/>
              <w:jc w:val="left"/>
            </w:pPr>
            <w:r>
              <w:t xml:space="preserve">Preparation and filing of regulatory documents with Abu Dhabi government authorities and the Abu Dhabi Bar Association</w:t>
            </w:r>
          </w:p>
        </w:tc>
        <w:tc>
          <w:tcPr/>
          <w:p>
            <w:pPr>
              <w:pStyle w:val="Compact"/>
              <w:jc w:val="left"/>
            </w:pPr>
            <w:r>
              <w:t xml:space="preserve">5 hours</w:t>
            </w:r>
          </w:p>
        </w:tc>
        <w:tc>
          <w:tcPr/>
          <w:p>
            <w:pPr>
              <w:pStyle w:val="Compact"/>
              <w:jc w:val="left"/>
            </w:pPr>
            <w:r>
              <w:t xml:space="preserve">1,000</w:t>
            </w:r>
          </w:p>
        </w:tc>
        <w:tc>
          <w:tcPr/>
          <w:p>
            <w:pPr>
              <w:pStyle w:val="Compact"/>
              <w:jc w:val="left"/>
            </w:pPr>
            <w:r>
              <w:t xml:space="preserve">5,000</w:t>
            </w:r>
          </w:p>
        </w:tc>
      </w:tr>
      <w:tr>
        <w:tc>
          <w:tcPr/>
          <w:p>
            <w:pPr>
              <w:pStyle w:val="Compact"/>
              <w:jc w:val="left"/>
            </w:pPr>
            <w:r>
              <w:t xml:space="preserve">6</w:t>
            </w:r>
          </w:p>
        </w:tc>
        <w:tc>
          <w:tcPr/>
          <w:p>
            <w:pPr>
              <w:pStyle w:val="Compact"/>
              <w:jc w:val="left"/>
            </w:pPr>
            <w:r>
              <w:t xml:space="preserve">Legal opinion letter on enforceability of arbitration clauses under UAE Arbitration Law (Federal Law No. 9 of 2021)</w:t>
            </w:r>
          </w:p>
        </w:tc>
        <w:tc>
          <w:tcPr/>
          <w:p>
            <w:pPr>
              <w:pStyle w:val="Compact"/>
              <w:jc w:val="left"/>
            </w:pPr>
            <w:r>
              <w:t xml:space="preserve">4 hours</w:t>
            </w:r>
          </w:p>
        </w:tc>
        <w:tc>
          <w:tcPr/>
          <w:p>
            <w:pPr>
              <w:pStyle w:val="Compact"/>
              <w:jc w:val="left"/>
            </w:pPr>
            <w:r>
              <w:t xml:space="preserve">1,500</w:t>
            </w:r>
          </w:p>
        </w:tc>
        <w:tc>
          <w:tcPr/>
          <w:p>
            <w:pPr>
              <w:pStyle w:val="Compact"/>
              <w:jc w:val="left"/>
            </w:pPr>
            <w:r>
              <w:t xml:space="preserve">6,000</w:t>
            </w:r>
          </w:p>
        </w:tc>
      </w:tr>
      <w:tr>
        <w:tc>
          <w:tcPr/>
          <w:p>
            <w:pPr>
              <w:pStyle w:val="Compact"/>
              <w:jc w:val="left"/>
            </w:pPr>
            <w:r>
              <w:t xml:space="preserve">7</w:t>
            </w:r>
          </w:p>
        </w:tc>
        <w:tc>
          <w:tcPr/>
          <w:p>
            <w:pPr>
              <w:pStyle w:val="Compact"/>
              <w:jc w:val="left"/>
            </w:pPr>
            <w:r>
              <w:t xml:space="preserve">Post-judgment enforcement proceedings and coordination with Abu Dhabi enforcement authorities</w:t>
            </w:r>
          </w:p>
        </w:tc>
        <w:tc>
          <w:tcPr/>
          <w:p>
            <w:pPr>
              <w:pStyle w:val="Compact"/>
              <w:jc w:val="left"/>
            </w:pPr>
            <w:r>
              <w:t xml:space="preserve">6 hours</w:t>
            </w:r>
          </w:p>
        </w:tc>
        <w:tc>
          <w:tcPr/>
          <w:p>
            <w:pPr>
              <w:pStyle w:val="Compact"/>
              <w:jc w:val="left"/>
            </w:pPr>
            <w:r>
              <w:t xml:space="preserve">1,500</w:t>
            </w:r>
          </w:p>
        </w:tc>
        <w:tc>
          <w:tcPr/>
          <w:p>
            <w:pPr>
              <w:pStyle w:val="Compact"/>
              <w:jc w:val="left"/>
            </w:pPr>
            <w:r>
              <w:t xml:space="preserve">9,000</w:t>
            </w:r>
          </w:p>
        </w:tc>
      </w:tr>
      <w:tr>
        <w:tc>
          <w:tcPr/>
          <w:p>
            <w:pPr>
              <w:pStyle w:val="Compact"/>
              <w:jc w:val="left"/>
            </w:pPr>
            <w:r>
              <w:t xml:space="preserve">8</w:t>
            </w:r>
          </w:p>
        </w:tc>
        <w:tc>
          <w:tcPr/>
          <w:p>
            <w:pPr>
              <w:pStyle w:val="Compact"/>
              <w:jc w:val="left"/>
            </w:pPr>
            <w:r>
              <w:t xml:space="preserve">General legal correspondence, email advisory, and ongoing case management by the Lawyer</w:t>
            </w:r>
          </w:p>
        </w:tc>
        <w:tc>
          <w:tcPr/>
          <w:p>
            <w:pPr>
              <w:pStyle w:val="Compact"/>
              <w:jc w:val="left"/>
            </w:pPr>
            <w:r>
              <w:t xml:space="preserve">10 hours</w:t>
            </w:r>
          </w:p>
        </w:tc>
        <w:tc>
          <w:tcPr/>
          <w:p>
            <w:pPr>
              <w:pStyle w:val="Compact"/>
              <w:jc w:val="left"/>
            </w:pPr>
            <w:r>
              <w:t xml:space="preserve">800</w:t>
            </w:r>
          </w:p>
        </w:tc>
        <w:tc>
          <w:tcPr/>
          <w:p>
            <w:pPr>
              <w:pStyle w:val="Compact"/>
              <w:jc w:val="left"/>
            </w:pPr>
            <w:r>
              <w:t xml:space="preserve">8,000</w:t>
            </w:r>
          </w:p>
        </w:tc>
      </w:tr>
      <w:tr>
        <w:tc>
          <w:tcPr>
            <w:gridSpan w:val="4"/>
          </w:tcPr>
          <w:p>
            <w:pPr>
              <w:pStyle w:val="Compact"/>
              <w:jc w:val="right"/>
            </w:pPr>
            <w:r>
              <w:t xml:space="preserve">TOTAL ESTIMATED PROFESSIONAL FEES</w:t>
            </w:r>
          </w:p>
        </w:tc>
        <w:tc>
          <w:tcPr/>
          <w:p>
            <w:pPr>
              <w:pStyle w:val="Compact"/>
              <w:jc w:val="left"/>
            </w:pPr>
            <w:r>
              <w:t xml:space="preserve">AED 70,600</w:t>
            </w:r>
          </w:p>
        </w:tc>
      </w:tr>
      <w:tr>
        <w:tc>
          <w:tcPr>
            <w:gridSpan w:val="4"/>
          </w:tcPr>
          <w:p>
            <w:pPr>
              <w:pStyle w:val="Compact"/>
              <w:jc w:val="right"/>
            </w:pPr>
            <w:r>
              <w:t xml:space="preserve">VAT (5% — UAE Federal Tax Authority)</w:t>
            </w:r>
          </w:p>
        </w:tc>
        <w:tc>
          <w:tcPr/>
          <w:p>
            <w:pPr>
              <w:pStyle w:val="Compact"/>
              <w:jc w:val="left"/>
            </w:pPr>
            <w:r>
              <w:t xml:space="preserve">AED 3,530</w:t>
            </w:r>
          </w:p>
        </w:tc>
      </w:tr>
      <w:tr>
        <w:tc>
          <w:tcPr>
            <w:gridSpan w:val="4"/>
          </w:tcPr>
          <w:p>
            <w:pPr>
              <w:pStyle w:val="Compact"/>
              <w:jc w:val="right"/>
            </w:pPr>
            <w:r>
              <w:t xml:space="preserve">GRAND TOTAL (Incl. VAT)</w:t>
            </w:r>
          </w:p>
        </w:tc>
        <w:tc>
          <w:tcPr/>
          <w:p>
            <w:pPr>
              <w:pStyle w:val="Compact"/>
              <w:jc w:val="left"/>
            </w:pPr>
            <w:r>
              <w:t xml:space="preserve">AED 74,130</w:t>
            </w:r>
          </w:p>
        </w:tc>
      </w:tr>
    </w:tbl>
    <w:bookmarkEnd w:id="23"/>
    <w:bookmarkStart w:id="24" w:name="additional-costs-and-disbursements"/>
    <w:p>
      <w:pPr>
        <w:pStyle w:val="Heading2"/>
      </w:pPr>
      <w:r>
        <w:t xml:space="preserve">2. Additional Costs and Disbursements</w:t>
      </w:r>
    </w:p>
    <w:p>
      <w:pPr>
        <w:pStyle w:val="FirstParagraph"/>
      </w:pPr>
      <w:r>
        <w:t xml:space="preserve">The above Quotation Estimate covers the professional fees of the Lawyer and the legal team. The following additional costs, which are not included in the estimated total, shall be borne by the client and are subject to actual expenditure in Abu Dhabi, United Arab Emirates:</w:t>
      </w:r>
    </w:p>
    <w:p>
      <w:pPr>
        <w:numPr>
          <w:ilvl w:val="0"/>
          <w:numId w:val="1001"/>
        </w:numPr>
        <w:pStyle w:val="Compact"/>
      </w:pPr>
      <w:r>
        <w:t xml:space="preserve">Court filing fees and stamp duties payable to the Abu Dhabi Courts (estimated AED 2,000 – AED 5,000 depending on the claim value).</w:t>
      </w:r>
    </w:p>
    <w:p>
      <w:pPr>
        <w:numPr>
          <w:ilvl w:val="0"/>
          <w:numId w:val="1001"/>
        </w:numPr>
        <w:pStyle w:val="Compact"/>
      </w:pPr>
      <w:r>
        <w:t xml:space="preserve">Notary public fees for document authentication in Abu Dhabi.</w:t>
      </w:r>
    </w:p>
    <w:p>
      <w:pPr>
        <w:numPr>
          <w:ilvl w:val="0"/>
          <w:numId w:val="1001"/>
        </w:numPr>
        <w:pStyle w:val="Compact"/>
      </w:pPr>
      <w:r>
        <w:t xml:space="preserve">Translation and attestation costs for documents submitted to UAE government bodies.</w:t>
      </w:r>
    </w:p>
    <w:p>
      <w:pPr>
        <w:numPr>
          <w:ilvl w:val="0"/>
          <w:numId w:val="1001"/>
        </w:numPr>
        <w:pStyle w:val="Compact"/>
      </w:pPr>
      <w:r>
        <w:t xml:space="preserve">Travel and accommodation expenses if the Lawyer is required to attend hearings or meetings outside the Abu Dhabi city limits within the United Arab Emirates.</w:t>
      </w:r>
    </w:p>
    <w:p>
      <w:pPr>
        <w:numPr>
          <w:ilvl w:val="0"/>
          <w:numId w:val="1001"/>
        </w:numPr>
        <w:pStyle w:val="Compact"/>
      </w:pPr>
      <w:r>
        <w:t xml:space="preserve">Expert witness fees, if appointed by the court or by mutual agreement of the parties.</w:t>
      </w:r>
    </w:p>
    <w:bookmarkEnd w:id="24"/>
    <w:bookmarkStart w:id="25" w:name="X985eb999f0cfcda5f1af1a675bf0b7c2e0a6c64"/>
    <w:p>
      <w:pPr>
        <w:pStyle w:val="Heading2"/>
      </w:pPr>
      <w:r>
        <w:t xml:space="preserve">3. Terms and Conditions of This Quotation Estimate</w:t>
      </w:r>
    </w:p>
    <w:p>
      <w:pPr>
        <w:numPr>
          <w:ilvl w:val="0"/>
          <w:numId w:val="1002"/>
        </w:numPr>
        <w:pStyle w:val="Compact"/>
      </w:pPr>
      <w:r>
        <w:t xml:space="preserve">This Quotation Estimate is a non-binding estimate of professional legal fees and does not constitute a final invoice. The final fees shall be determined based on the actual hours worked by the Lawyer and the legal team in Abu Dhabi, United Arab Emirates.</w:t>
      </w:r>
    </w:p>
    <w:p>
      <w:pPr>
        <w:numPr>
          <w:ilvl w:val="0"/>
          <w:numId w:val="1002"/>
        </w:numPr>
        <w:pStyle w:val="Compact"/>
      </w:pPr>
      <w:r>
        <w:t xml:space="preserve">The Lawyer reserves the right to adjust the estimated hours by up to 15% without prior written notice, provided that any adjustment exceeding 15% shall require the client's written consent before additional work commences.</w:t>
      </w:r>
    </w:p>
    <w:p>
      <w:pPr>
        <w:numPr>
          <w:ilvl w:val="0"/>
          <w:numId w:val="1002"/>
        </w:numPr>
        <w:pStyle w:val="Compact"/>
      </w:pPr>
      <w:r>
        <w:t xml:space="preserve">Payment terms: 40% advance payment upon acceptance of this Quotation Estimate, 30% upon completion of the primary litigation phase before the Abu Dhabi Court, and the remaining 30% upon final resolution or closure of the matter.</w:t>
      </w:r>
    </w:p>
    <w:p>
      <w:pPr>
        <w:numPr>
          <w:ilvl w:val="0"/>
          <w:numId w:val="1002"/>
        </w:numPr>
        <w:pStyle w:val="Compact"/>
      </w:pPr>
      <w:r>
        <w:t xml:space="preserve">All payments shall be made in United Arab Emirates Dirhams (AED) via bank transfer to the firm's designated account at a UAE-licensed bank in Abu Dhabi.</w:t>
      </w:r>
    </w:p>
    <w:p>
      <w:pPr>
        <w:numPr>
          <w:ilvl w:val="0"/>
          <w:numId w:val="1002"/>
        </w:numPr>
        <w:pStyle w:val="Compact"/>
      </w:pPr>
      <w:r>
        <w:t xml:space="preserve">This Quotation Estimate is valid for thirty (30) calendar days from the date of issue. Upon expiry, the Lawyer reserves the right to revise the rates and terms to reflect current market conditions in Abu Dhabi, United Arab Emirates.</w:t>
      </w:r>
    </w:p>
    <w:p>
      <w:pPr>
        <w:numPr>
          <w:ilvl w:val="0"/>
          <w:numId w:val="1002"/>
        </w:numPr>
        <w:pStyle w:val="Compact"/>
      </w:pPr>
      <w:r>
        <w:t xml:space="preserve">The Lawyer shall maintain strict confidentiality regarding all client information in accordance with the Abu Dhabi Bar Association Code of Professional Conduct and UAE Federal Law on the Protection of Personal Data (Federal Decree-Law No. 45 of 2021).</w:t>
      </w:r>
    </w:p>
    <w:p>
      <w:pPr>
        <w:numPr>
          <w:ilvl w:val="0"/>
          <w:numId w:val="1002"/>
        </w:numPr>
        <w:pStyle w:val="Compact"/>
      </w:pPr>
      <w:r>
        <w:t xml:space="preserve">In the event of a conflict of interest arising during the engagement, the Lawyer shall immediately notify the client in writing and may withdraw from the representation in accordance with applicable UAE legal ethics rules.</w:t>
      </w:r>
    </w:p>
    <w:p>
      <w:pPr>
        <w:numPr>
          <w:ilvl w:val="0"/>
          <w:numId w:val="1002"/>
        </w:numPr>
        <w:pStyle w:val="Compact"/>
      </w:pPr>
      <w:r>
        <w:t xml:space="preserve">This Quotation Estimate and the resulting engagement shall be governed by and construed in accordance with the laws of the United Arab Emirates, and any disputes shall be subject to the exclusive jurisdiction of the courts of Abu Dhabi.</w:t>
      </w:r>
    </w:p>
    <w:p>
      <w:pPr>
        <w:numPr>
          <w:ilvl w:val="0"/>
          <w:numId w:val="1002"/>
        </w:numPr>
        <w:pStyle w:val="Compact"/>
      </w:pPr>
      <w:r>
        <w:t xml:space="preserve">The client acknowledges that the Lawyer's services are advisory and representative in nature and do not guarantee any specific outcome before the Abu Dhabi Courts or any other UAE judicial or regulatory body.</w:t>
      </w:r>
    </w:p>
    <w:bookmarkEnd w:id="25"/>
    <w:bookmarkStart w:id="26" w:name="acceptance-and-authorization"/>
    <w:p>
      <w:pPr>
        <w:pStyle w:val="Heading2"/>
      </w:pPr>
      <w:r>
        <w:t xml:space="preserve">4. Acceptance and Authorization</w:t>
      </w:r>
    </w:p>
    <w:p>
      <w:pPr>
        <w:pStyle w:val="FirstParagraph"/>
      </w:pPr>
      <w:r>
        <w:t xml:space="preserve">By signing below, the client confirms acceptance of this Quotation Estimate for the legal services to be rendered by the Lawyer in Abu Dhabi, United Arab Emirates, and authorizes the firm to commence the engagement as described herein.</w:t>
      </w:r>
    </w:p>
    <w:p>
      <w:pPr>
        <w:pStyle w:val="BodyText"/>
      </w:pPr>
      <w:r>
        <w:rPr>
          <w:bCs/>
          <w:b/>
        </w:rPr>
        <w:t xml:space="preserve">For and on behalf of the Lawyer / Firm:</w:t>
      </w:r>
    </w:p>
    <w:p>
      <w:pPr>
        <w:pStyle w:val="BodyText"/>
      </w:pPr>
      <w:r>
        <w:t xml:space="preserve">Al Noor Legal Consultancy LLC</w:t>
      </w:r>
      <w:r>
        <w:br/>
      </w:r>
      <w:r>
        <w:t xml:space="preserve">Abu Dhabi, United Arab Emirates</w:t>
      </w:r>
    </w:p>
    <w:p>
      <w:pPr>
        <w:pStyle w:val="BodyText"/>
      </w:pPr>
      <w:r>
        <w:t xml:space="preserve">Signature: _________________________</w:t>
      </w:r>
    </w:p>
    <w:p>
      <w:pPr>
        <w:pStyle w:val="BodyText"/>
      </w:pPr>
      <w:r>
        <w:t xml:space="preserve">Name: Adv. Fatima Al Suwaidi</w:t>
      </w:r>
    </w:p>
    <w:p>
      <w:pPr>
        <w:pStyle w:val="BodyText"/>
      </w:pPr>
      <w:r>
        <w:t xml:space="preserve">Title: Senior Partner / Licensed Lawyer</w:t>
      </w:r>
    </w:p>
    <w:p>
      <w:pPr>
        <w:pStyle w:val="BodyText"/>
      </w:pPr>
      <w:r>
        <w:t xml:space="preserve">Date: _________________________</w:t>
      </w:r>
    </w:p>
    <w:p>
      <w:pPr>
        <w:pStyle w:val="BodyText"/>
      </w:pPr>
      <w:r>
        <w:rPr>
          <w:bCs/>
          <w:b/>
        </w:rPr>
        <w:t xml:space="preserve">For and on behalf of the Client:</w:t>
      </w:r>
    </w:p>
    <w:p>
      <w:pPr>
        <w:pStyle w:val="BodyText"/>
      </w:pPr>
      <w:r>
        <w:t xml:space="preserve">Mr. Khalid bin Rashid Al Maktoum</w:t>
      </w:r>
      <w:r>
        <w:br/>
      </w:r>
      <w:r>
        <w:t xml:space="preserve">Abu Dhabi, United Arab Emirates</w:t>
      </w:r>
    </w:p>
    <w:p>
      <w:pPr>
        <w:pStyle w:val="BodyText"/>
      </w:pPr>
      <w:r>
        <w:t xml:space="preserve">Signature: _________________________</w:t>
      </w:r>
    </w:p>
    <w:p>
      <w:pPr>
        <w:pStyle w:val="BodyText"/>
      </w:pPr>
      <w:r>
        <w:t xml:space="preserve">Name: _________________________</w:t>
      </w:r>
    </w:p>
    <w:p>
      <w:pPr>
        <w:pStyle w:val="BodyText"/>
      </w:pPr>
      <w:r>
        <w:t xml:space="preserve">Title: _________________________</w:t>
      </w:r>
    </w:p>
    <w:p>
      <w:pPr>
        <w:pStyle w:val="BodyText"/>
      </w:pPr>
      <w:r>
        <w:t xml:space="preserve">Date: _________________________</w:t>
      </w:r>
    </w:p>
    <w:p>
      <w:pPr>
        <w:pStyle w:val="BodyText"/>
      </w:pPr>
      <w:r>
        <w:t xml:space="preserve">This Quotation Estimate was prepared by Al Noor Legal Consultancy LLC, a licensed legal practice in Abu Dhabi, United Arab Emirates. All references to the Lawyer, legal services, and jurisdiction pertain to the Emirate of Abu Dhabi and the Federal Laws of the United Arab Emirates. This document is confidential and intended solely for the named client. © 2025 Al Noor Legal Consultancy LLC.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Legal Services - Abu Dhabi, United Arab Emirates</dc:title>
  <dc:creator/>
  <dc:language>en</dc:language>
  <cp:keywords/>
  <dcterms:created xsi:type="dcterms:W3CDTF">2026-10-10T07:03:14Z</dcterms:created>
  <dcterms:modified xsi:type="dcterms:W3CDTF">2026-10-10T07:03:14Z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