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1" w:name="quotation-estimate"/>
    <w:p>
      <w:pPr>
        <w:pStyle w:val="Heading1"/>
      </w:pPr>
      <w:r>
        <w:t xml:space="preserve">QUOTATION ESTIMATE</w:t>
      </w:r>
    </w:p>
    <w:bookmarkStart w:id="20" w:name="legal-services-attorney-at-law"/>
    <w:p>
      <w:pPr>
        <w:pStyle w:val="Heading2"/>
      </w:pPr>
      <w:r>
        <w:t xml:space="preserve">Legal Services — Attorney at Law</w:t>
      </w:r>
    </w:p>
    <w:p>
      <w:pPr>
        <w:pStyle w:val="FirstParagraph"/>
      </w:pPr>
      <w:r>
        <w:t xml:space="preserve">Al Noor &amp; Partners Legal Consultancy LLC</w:t>
      </w:r>
    </w:p>
    <w:p>
      <w:pPr>
        <w:pStyle w:val="BodyText"/>
      </w:pPr>
      <w:r>
        <w:t xml:space="preserve">Office 1204, Level 12, Burj Daman, DIFC, United Arab Emirates Dubai</w:t>
      </w:r>
    </w:p>
    <w:bookmarkEnd w:id="20"/>
    <w:bookmarkEnd w:id="21"/>
    <w:bookmarkStart w:id="22" w:name="prepared-by"/>
    <w:p>
      <w:pPr>
        <w:pStyle w:val="Heading3"/>
      </w:pPr>
      <w:r>
        <w:t xml:space="preserve">Prepared By</w:t>
      </w:r>
    </w:p>
    <w:p>
      <w:pPr>
        <w:pStyle w:val="FirstParagraph"/>
      </w:pPr>
      <w:r>
        <w:rPr>
          <w:bCs/>
          <w:b/>
        </w:rPr>
        <w:t xml:space="preserve">Lawyer:</w:t>
      </w:r>
      <w:r>
        <w:t xml:space="preserve"> </w:t>
      </w:r>
      <w:r>
        <w:t xml:space="preserve">Adv. Khalid Al Mansoori</w:t>
      </w:r>
    </w:p>
    <w:p>
      <w:pPr>
        <w:pStyle w:val="BodyText"/>
      </w:pPr>
      <w:r>
        <w:rPr>
          <w:bCs/>
          <w:b/>
        </w:rPr>
        <w:t xml:space="preserve">License No.:</w:t>
      </w:r>
      <w:r>
        <w:t xml:space="preserve"> </w:t>
      </w:r>
      <w:r>
        <w:t xml:space="preserve">UAE-DC-2019-44782</w:t>
      </w:r>
    </w:p>
    <w:p>
      <w:pPr>
        <w:pStyle w:val="BodyText"/>
      </w:pPr>
      <w:r>
        <w:rPr>
          <w:bCs/>
          <w:b/>
        </w:rPr>
        <w:t xml:space="preserve">Bar Registration:</w:t>
      </w:r>
      <w:r>
        <w:t xml:space="preserve"> </w:t>
      </w:r>
      <w:r>
        <w:t xml:space="preserve">Dubai Legal Affairs Department</w:t>
      </w:r>
    </w:p>
    <w:p>
      <w:pPr>
        <w:pStyle w:val="BodyText"/>
      </w:pPr>
      <w:r>
        <w:rPr>
          <w:bCs/>
          <w:b/>
        </w:rPr>
        <w:t xml:space="preserve">Email:</w:t>
      </w:r>
      <w:r>
        <w:t xml:space="preserve"> </w:t>
      </w:r>
      <w:r>
        <w:t xml:space="preserve">k.mansoori@alnoorpartners.ae</w:t>
      </w:r>
    </w:p>
    <w:p>
      <w:pPr>
        <w:pStyle w:val="BodyText"/>
      </w:pPr>
      <w:r>
        <w:rPr>
          <w:bCs/>
          <w:b/>
        </w:rPr>
        <w:t xml:space="preserve">Phone:</w:t>
      </w:r>
      <w:r>
        <w:t xml:space="preserve"> </w:t>
      </w:r>
      <w:r>
        <w:t xml:space="preserve">+971 4 555 8821</w:t>
      </w:r>
    </w:p>
    <w:bookmarkEnd w:id="22"/>
    <w:bookmarkStart w:id="23" w:name="prepared-for"/>
    <w:p>
      <w:pPr>
        <w:pStyle w:val="Heading3"/>
      </w:pPr>
      <w:r>
        <w:t xml:space="preserve">Prepared For</w:t>
      </w:r>
    </w:p>
    <w:p>
      <w:pPr>
        <w:pStyle w:val="FirstParagraph"/>
      </w:pPr>
      <w:r>
        <w:rPr>
          <w:bCs/>
          <w:b/>
        </w:rPr>
        <w:t xml:space="preserve">Client Name:</w:t>
      </w:r>
      <w:r>
        <w:t xml:space="preserve"> </w:t>
      </w:r>
      <w:r>
        <w:t xml:space="preserve">[Client Full Name]</w:t>
      </w:r>
    </w:p>
    <w:p>
      <w:pPr>
        <w:pStyle w:val="BodyText"/>
      </w:pPr>
      <w:r>
        <w:rPr>
          <w:bCs/>
          <w:b/>
        </w:rPr>
        <w:t xml:space="preserve">Company:</w:t>
      </w:r>
      <w:r>
        <w:t xml:space="preserve"> </w:t>
      </w:r>
      <w:r>
        <w:t xml:space="preserve">[Company Name] LLC</w:t>
      </w:r>
    </w:p>
    <w:p>
      <w:pPr>
        <w:pStyle w:val="BodyText"/>
      </w:pPr>
      <w:r>
        <w:rPr>
          <w:bCs/>
          <w:b/>
        </w:rPr>
        <w:t xml:space="preserve">Trade License No.:</w:t>
      </w:r>
      <w:r>
        <w:t xml:space="preserve"> </w:t>
      </w:r>
      <w:r>
        <w:t xml:space="preserve">[License Number]</w:t>
      </w:r>
    </w:p>
    <w:p>
      <w:pPr>
        <w:pStyle w:val="BodyText"/>
      </w:pPr>
      <w:r>
        <w:rPr>
          <w:bCs/>
          <w:b/>
        </w:rPr>
        <w:t xml:space="preserve">Address:</w:t>
      </w:r>
      <w:r>
        <w:t xml:space="preserve"> </w:t>
      </w:r>
      <w:r>
        <w:t xml:space="preserve">[Client Address], Dubai, United Arab Emirates</w:t>
      </w:r>
    </w:p>
    <w:p>
      <w:pPr>
        <w:pStyle w:val="BodyText"/>
      </w:pPr>
      <w:r>
        <w:rPr>
          <w:bCs/>
          <w:b/>
        </w:rPr>
        <w:t xml:space="preserve">Contact:</w:t>
      </w:r>
      <w:r>
        <w:t xml:space="preserve"> </w:t>
      </w:r>
      <w:r>
        <w:t xml:space="preserve">[Phone / Email]</w:t>
      </w:r>
    </w:p>
    <w:bookmarkEnd w:id="23"/>
    <w:p>
      <w:pPr>
        <w:pStyle w:val="BodyText"/>
      </w:pPr>
      <w:r>
        <w:rPr>
          <w:bCs/>
          <w:b/>
        </w:rPr>
        <w:t xml:space="preserve">Quotation Estimate Reference No.:</w:t>
      </w:r>
      <w:r>
        <w:t xml:space="preserve"> </w:t>
      </w:r>
      <w:r>
        <w:t xml:space="preserve">QTE-2025-DXB-0347</w:t>
      </w:r>
    </w:p>
    <w:p>
      <w:pPr>
        <w:pStyle w:val="BodyText"/>
      </w:pPr>
      <w:r>
        <w:rPr>
          <w:bCs/>
          <w:b/>
        </w:rPr>
        <w:t xml:space="preserve">Date of Issue:</w:t>
      </w:r>
      <w:r>
        <w:t xml:space="preserve"> </w:t>
      </w:r>
      <w:r>
        <w:t xml:space="preserve">[DD/MM/YYYY]</w:t>
      </w:r>
    </w:p>
    <w:p>
      <w:pPr>
        <w:pStyle w:val="BodyText"/>
      </w:pPr>
      <w:r>
        <w:rPr>
          <w:bCs/>
          <w:b/>
        </w:rPr>
        <w:t xml:space="preserve">Valid Until:</w:t>
      </w:r>
      <w:r>
        <w:t xml:space="preserve"> </w:t>
      </w:r>
      <w:r>
        <w:t xml:space="preserve">[DD/MM/YYYY] (30 calendar days from date of issue)</w:t>
      </w:r>
    </w:p>
    <w:p>
      <w:pPr>
        <w:pStyle w:val="BodyText"/>
      </w:pPr>
      <w:r>
        <w:rPr>
          <w:bCs/>
          <w:b/>
        </w:rPr>
        <w:t xml:space="preserve">Jurisdiction:</w:t>
      </w:r>
      <w:r>
        <w:t xml:space="preserve"> </w:t>
      </w:r>
      <w:r>
        <w:t xml:space="preserve">United Arab Emirates — Dubai Courts &amp; DIFC Courts</w:t>
      </w:r>
    </w:p>
    <w:p>
      <w:pPr>
        <w:pStyle w:val="BodyText"/>
      </w:pPr>
      <w:r>
        <w:rPr>
          <w:bCs/>
          <w:b/>
        </w:rPr>
        <w:t xml:space="preserve">Applicable Law:</w:t>
      </w:r>
      <w:r>
        <w:t xml:space="preserve"> </w:t>
      </w:r>
      <w:r>
        <w:t xml:space="preserve">Federal Law of the United Arab Emirates and Dubai Emirate regulations</w:t>
      </w:r>
    </w:p>
    <w:bookmarkStart w:id="24"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the undersigned</w:t>
      </w:r>
      <w:r>
        <w:t xml:space="preserve"> </w:t>
      </w:r>
      <w:r>
        <w:t xml:space="preserve">Lawyer</w:t>
      </w:r>
      <w:r>
        <w:t xml:space="preserve">, Adv. Khalid Al Mansoori, acting in his capacity as a licensed legal practitioner registered with the Dubai Legal Affairs Department, to provide the above-referenced client with a comprehensive and itemised estimate of professional legal fees for the engagement of legal counsel in the</w:t>
      </w:r>
      <w:r>
        <w:t xml:space="preserve"> </w:t>
      </w:r>
      <w:r>
        <w:t xml:space="preserve">United Arab Emirates Dubai</w:t>
      </w:r>
      <w:r>
        <w:t xml:space="preserve"> </w:t>
      </w:r>
      <w:r>
        <w:t xml:space="preserve">jurisdiction. This document constitutes a formal</w:t>
      </w:r>
      <w:r>
        <w:t xml:space="preserve"> </w:t>
      </w:r>
      <w:r>
        <w:t xml:space="preserve">Quotation Estimate</w:t>
      </w:r>
      <w:r>
        <w:t xml:space="preserve"> </w:t>
      </w:r>
      <w:r>
        <w:t xml:space="preserve">and does not, in and of itself, create a binding attorney-client relationship until a separate retainer agreement or engagement letter is executed by both parties in accordance with the legal practice regulations of the</w:t>
      </w:r>
      <w:r>
        <w:t xml:space="preserve"> </w:t>
      </w:r>
      <w:r>
        <w:t xml:space="preserve">United Arab Emirates</w:t>
      </w:r>
      <w:r>
        <w:t xml:space="preserve">.</w:t>
      </w:r>
    </w:p>
    <w:p>
      <w:pPr>
        <w:pStyle w:val="BodyText"/>
      </w:pPr>
      <w:r>
        <w:t xml:space="preserve">The scope of legal services contemplated under this</w:t>
      </w:r>
      <w:r>
        <w:t xml:space="preserve"> </w:t>
      </w:r>
      <w:r>
        <w:t xml:space="preserve">Quotation Estimate</w:t>
      </w:r>
      <w:r>
        <w:t xml:space="preserve"> </w:t>
      </w:r>
      <w:r>
        <w:t xml:space="preserve">pertains to the representation and advisory engagement of the</w:t>
      </w:r>
      <w:r>
        <w:t xml:space="preserve"> </w:t>
      </w:r>
      <w:r>
        <w:t xml:space="preserve">Lawyer</w:t>
      </w:r>
      <w:r>
        <w:t xml:space="preserve"> </w:t>
      </w:r>
      <w:r>
        <w:t xml:space="preserve">in connection with [describe matter: e.g., commercial contract dispute / corporate restructuring / real estate transaction / employment litigation / intellectual property protection] before the competent courts and regulatory authorities in</w:t>
      </w:r>
      <w:r>
        <w:t xml:space="preserve"> </w:t>
      </w:r>
      <w:r>
        <w:t xml:space="preserve">Dubai, United Arab Emirates</w:t>
      </w:r>
      <w:r>
        <w:t xml:space="preserve">.</w:t>
      </w:r>
    </w:p>
    <w:bookmarkEnd w:id="24"/>
    <w:bookmarkStart w:id="25" w:name="itemised-fee-breakdown"/>
    <w:p>
      <w:pPr>
        <w:pStyle w:val="Heading2"/>
      </w:pPr>
      <w:r>
        <w:t xml:space="preserve">2. Itemised Fee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Legal Service</w:t>
            </w:r>
          </w:p>
        </w:tc>
        <w:tc>
          <w:tcPr/>
          <w:p>
            <w:pPr>
              <w:pStyle w:val="Compact"/>
              <w:jc w:val="left"/>
            </w:pPr>
            <w:r>
              <w:t xml:space="preserve">Rate / Basis</w:t>
            </w:r>
          </w:p>
        </w:tc>
        <w:tc>
          <w:tcPr/>
          <w:p>
            <w:pPr>
              <w:pStyle w:val="Compact"/>
              <w:jc w:val="left"/>
            </w:pPr>
            <w:r>
              <w:t xml:space="preserve">Estimated Hours</w:t>
            </w:r>
          </w:p>
        </w:tc>
        <w:tc>
          <w:tcPr/>
          <w:p>
            <w:pPr>
              <w:pStyle w:val="Compact"/>
              <w:jc w:val="left"/>
            </w:pPr>
            <w:r>
              <w:t xml:space="preserve">Estimated Fee (AED)</w:t>
            </w:r>
          </w:p>
        </w:tc>
      </w:tr>
      <w:tr>
        <w:tc>
          <w:tcPr/>
          <w:p>
            <w:pPr>
              <w:pStyle w:val="Compact"/>
              <w:jc w:val="left"/>
            </w:pPr>
            <w:r>
              <w:t xml:space="preserve">1</w:t>
            </w:r>
          </w:p>
        </w:tc>
        <w:tc>
          <w:tcPr/>
          <w:p>
            <w:pPr>
              <w:pStyle w:val="Compact"/>
              <w:jc w:val="left"/>
            </w:pPr>
            <w:r>
              <w:t xml:space="preserve">Initial legal consultation and case assessment in Dubai, United Arab Emirates</w:t>
            </w:r>
          </w:p>
        </w:tc>
        <w:tc>
          <w:tcPr/>
          <w:p>
            <w:pPr>
              <w:pStyle w:val="Compact"/>
              <w:jc w:val="left"/>
            </w:pPr>
            <w:r>
              <w:t xml:space="preserve">Fixed fee</w:t>
            </w:r>
          </w:p>
        </w:tc>
        <w:tc>
          <w:tcPr/>
          <w:p>
            <w:pPr>
              <w:pStyle w:val="Compact"/>
              <w:jc w:val="left"/>
            </w:pPr>
            <w:r>
              <w:t xml:space="preserve">3 hours</w:t>
            </w:r>
          </w:p>
        </w:tc>
        <w:tc>
          <w:tcPr/>
          <w:p>
            <w:pPr>
              <w:pStyle w:val="Compact"/>
              <w:jc w:val="left"/>
            </w:pPr>
            <w:r>
              <w:t xml:space="preserve">AED 3,500.00</w:t>
            </w:r>
          </w:p>
        </w:tc>
      </w:tr>
      <w:tr>
        <w:tc>
          <w:tcPr/>
          <w:p>
            <w:pPr>
              <w:pStyle w:val="Compact"/>
              <w:jc w:val="left"/>
            </w:pPr>
            <w:r>
              <w:t xml:space="preserve">2</w:t>
            </w:r>
          </w:p>
        </w:tc>
        <w:tc>
          <w:tcPr/>
          <w:p>
            <w:pPr>
              <w:pStyle w:val="Compact"/>
              <w:jc w:val="left"/>
            </w:pPr>
            <w:r>
              <w:t xml:space="preserve">Comprehensive legal research and analysis under UAE Federal Law and Dubai Emirate statutes</w:t>
            </w:r>
          </w:p>
        </w:tc>
        <w:tc>
          <w:tcPr/>
          <w:p>
            <w:pPr>
              <w:pStyle w:val="Compact"/>
              <w:jc w:val="left"/>
            </w:pPr>
            <w:r>
              <w:t xml:space="preserve">AED 850 / hour</w:t>
            </w:r>
          </w:p>
        </w:tc>
        <w:tc>
          <w:tcPr/>
          <w:p>
            <w:pPr>
              <w:pStyle w:val="Compact"/>
              <w:jc w:val="left"/>
            </w:pPr>
            <w:r>
              <w:t xml:space="preserve">12 hours</w:t>
            </w:r>
          </w:p>
        </w:tc>
        <w:tc>
          <w:tcPr/>
          <w:p>
            <w:pPr>
              <w:pStyle w:val="Compact"/>
              <w:jc w:val="left"/>
            </w:pPr>
            <w:r>
              <w:t xml:space="preserve">AED 10,200.00</w:t>
            </w:r>
          </w:p>
        </w:tc>
      </w:tr>
      <w:tr>
        <w:tc>
          <w:tcPr/>
          <w:p>
            <w:pPr>
              <w:pStyle w:val="Compact"/>
              <w:jc w:val="left"/>
            </w:pPr>
            <w:r>
              <w:t xml:space="preserve">3</w:t>
            </w:r>
          </w:p>
        </w:tc>
        <w:tc>
          <w:tcPr/>
          <w:p>
            <w:pPr>
              <w:pStyle w:val="Compact"/>
              <w:jc w:val="left"/>
            </w:pPr>
            <w:r>
              <w:t xml:space="preserve">Drafting, review, and negotiation of legal documents, contracts, and pleadings</w:t>
            </w:r>
          </w:p>
        </w:tc>
        <w:tc>
          <w:tcPr/>
          <w:p>
            <w:pPr>
              <w:pStyle w:val="Compact"/>
              <w:jc w:val="left"/>
            </w:pPr>
            <w:r>
              <w:t xml:space="preserve">AED 950 / hour</w:t>
            </w:r>
          </w:p>
        </w:tc>
        <w:tc>
          <w:tcPr/>
          <w:p>
            <w:pPr>
              <w:pStyle w:val="Compact"/>
              <w:jc w:val="left"/>
            </w:pPr>
            <w:r>
              <w:t xml:space="preserve">20 hours</w:t>
            </w:r>
          </w:p>
        </w:tc>
        <w:tc>
          <w:tcPr/>
          <w:p>
            <w:pPr>
              <w:pStyle w:val="Compact"/>
              <w:jc w:val="left"/>
            </w:pPr>
            <w:r>
              <w:t xml:space="preserve">AED 19,000.00</w:t>
            </w:r>
          </w:p>
        </w:tc>
      </w:tr>
      <w:tr>
        <w:tc>
          <w:tcPr/>
          <w:p>
            <w:pPr>
              <w:pStyle w:val="Compact"/>
              <w:jc w:val="left"/>
            </w:pPr>
            <w:r>
              <w:t xml:space="preserve">4</w:t>
            </w:r>
          </w:p>
        </w:tc>
        <w:tc>
          <w:tcPr/>
          <w:p>
            <w:pPr>
              <w:pStyle w:val="Compact"/>
              <w:jc w:val="left"/>
            </w:pPr>
            <w:r>
              <w:t xml:space="preserve">Representation before Dubai Courts / DIFC Courts (per hearing day)</w:t>
            </w:r>
          </w:p>
        </w:tc>
        <w:tc>
          <w:tcPr/>
          <w:p>
            <w:pPr>
              <w:pStyle w:val="Compact"/>
              <w:jc w:val="left"/>
            </w:pPr>
            <w:r>
              <w:t xml:space="preserve">AED 7,500 / day</w:t>
            </w:r>
          </w:p>
        </w:tc>
        <w:tc>
          <w:tcPr/>
          <w:p>
            <w:pPr>
              <w:pStyle w:val="Compact"/>
              <w:jc w:val="left"/>
            </w:pPr>
            <w:r>
              <w:t xml:space="preserve">4 days</w:t>
            </w:r>
          </w:p>
        </w:tc>
        <w:tc>
          <w:tcPr/>
          <w:p>
            <w:pPr>
              <w:pStyle w:val="Compact"/>
              <w:jc w:val="left"/>
            </w:pPr>
            <w:r>
              <w:t xml:space="preserve">AED 30,000.00</w:t>
            </w:r>
          </w:p>
        </w:tc>
      </w:tr>
      <w:tr>
        <w:tc>
          <w:tcPr/>
          <w:p>
            <w:pPr>
              <w:pStyle w:val="Compact"/>
              <w:jc w:val="left"/>
            </w:pPr>
            <w:r>
              <w:t xml:space="preserve">5</w:t>
            </w:r>
          </w:p>
        </w:tc>
        <w:tc>
          <w:tcPr/>
          <w:p>
            <w:pPr>
              <w:pStyle w:val="Compact"/>
              <w:jc w:val="left"/>
            </w:pPr>
            <w:r>
              <w:t xml:space="preserve">Correspondence with opposing counsel, government authorities, and regulatory bodies in the UAE</w:t>
            </w:r>
          </w:p>
        </w:tc>
        <w:tc>
          <w:tcPr/>
          <w:p>
            <w:pPr>
              <w:pStyle w:val="Compact"/>
              <w:jc w:val="left"/>
            </w:pPr>
            <w:r>
              <w:t xml:space="preserve">AED 700 / hour</w:t>
            </w:r>
          </w:p>
        </w:tc>
        <w:tc>
          <w:tcPr/>
          <w:p>
            <w:pPr>
              <w:pStyle w:val="Compact"/>
              <w:jc w:val="left"/>
            </w:pPr>
            <w:r>
              <w:t xml:space="preserve">8 hours</w:t>
            </w:r>
          </w:p>
        </w:tc>
        <w:tc>
          <w:tcPr/>
          <w:p>
            <w:pPr>
              <w:pStyle w:val="Compact"/>
              <w:jc w:val="left"/>
            </w:pPr>
            <w:r>
              <w:t xml:space="preserve">AED 5,600.00</w:t>
            </w:r>
          </w:p>
        </w:tc>
      </w:tr>
      <w:tr>
        <w:tc>
          <w:tcPr/>
          <w:p>
            <w:pPr>
              <w:pStyle w:val="Compact"/>
              <w:jc w:val="left"/>
            </w:pPr>
            <w:r>
              <w:t xml:space="preserve">6</w:t>
            </w:r>
          </w:p>
        </w:tc>
        <w:tc>
          <w:tcPr/>
          <w:p>
            <w:pPr>
              <w:pStyle w:val="Compact"/>
              <w:jc w:val="left"/>
            </w:pPr>
            <w:r>
              <w:t xml:space="preserve">Preparation of legal opinions, memoranda, and advisory reports</w:t>
            </w:r>
          </w:p>
        </w:tc>
        <w:tc>
          <w:tcPr/>
          <w:p>
            <w:pPr>
              <w:pStyle w:val="Compact"/>
              <w:jc w:val="left"/>
            </w:pPr>
            <w:r>
              <w:t xml:space="preserve">AED 1,200 / document</w:t>
            </w:r>
          </w:p>
        </w:tc>
        <w:tc>
          <w:tcPr/>
          <w:p>
            <w:pPr>
              <w:pStyle w:val="Compact"/>
              <w:jc w:val="left"/>
            </w:pPr>
            <w:r>
              <w:t xml:space="preserve">3 documents</w:t>
            </w:r>
          </w:p>
        </w:tc>
        <w:tc>
          <w:tcPr/>
          <w:p>
            <w:pPr>
              <w:pStyle w:val="Compact"/>
              <w:jc w:val="left"/>
            </w:pPr>
            <w:r>
              <w:t xml:space="preserve">AED 3,600.00</w:t>
            </w:r>
          </w:p>
        </w:tc>
      </w:tr>
      <w:tr>
        <w:tc>
          <w:tcPr/>
          <w:p>
            <w:pPr>
              <w:pStyle w:val="Compact"/>
              <w:jc w:val="left"/>
            </w:pPr>
            <w:r>
              <w:t xml:space="preserve">7</w:t>
            </w:r>
          </w:p>
        </w:tc>
        <w:tc>
          <w:tcPr/>
          <w:p>
            <w:pPr>
              <w:pStyle w:val="Compact"/>
              <w:jc w:val="left"/>
            </w:pPr>
            <w:r>
              <w:t xml:space="preserve">Travel, court filing fees, translation (Arabic-English), and administrative disbursements</w:t>
            </w:r>
          </w:p>
        </w:tc>
        <w:tc>
          <w:tcPr/>
          <w:p>
            <w:pPr>
              <w:pStyle w:val="Compact"/>
              <w:jc w:val="left"/>
            </w:pPr>
            <w:r>
              <w:t xml:space="preserve">Actual cost</w:t>
            </w:r>
          </w:p>
        </w:tc>
        <w:tc>
          <w:tcPr/>
          <w:p>
            <w:pPr>
              <w:pStyle w:val="Compact"/>
              <w:jc w:val="left"/>
            </w:pPr>
            <w:r>
              <w:t xml:space="preserve">—</w:t>
            </w:r>
          </w:p>
        </w:tc>
        <w:tc>
          <w:tcPr/>
          <w:p>
            <w:pPr>
              <w:pStyle w:val="Compact"/>
              <w:jc w:val="left"/>
            </w:pPr>
            <w:r>
              <w:t xml:space="preserve">AED 4,500.00 (est.)</w:t>
            </w:r>
          </w:p>
        </w:tc>
      </w:tr>
      <w:tr>
        <w:tc>
          <w:tcPr>
            <w:gridSpan w:val="4"/>
          </w:tcPr>
          <w:p>
            <w:pPr>
              <w:pStyle w:val="Compact"/>
              <w:jc w:val="right"/>
            </w:pPr>
            <w:r>
              <w:t xml:space="preserve">TOTAL ESTIMATED FEE</w:t>
            </w:r>
          </w:p>
        </w:tc>
        <w:tc>
          <w:tcPr/>
          <w:p>
            <w:pPr>
              <w:pStyle w:val="Compact"/>
              <w:jc w:val="left"/>
            </w:pPr>
            <w:r>
              <w:t xml:space="preserve">AED 76,400.00</w:t>
            </w:r>
          </w:p>
        </w:tc>
      </w:tr>
      <w:tr>
        <w:tc>
          <w:tcPr>
            <w:gridSpan w:val="4"/>
          </w:tcPr>
          <w:p>
            <w:pPr>
              <w:pStyle w:val="Compact"/>
              <w:jc w:val="right"/>
            </w:pPr>
            <w:r>
              <w:t xml:space="preserve">VAT (5% — UAE Federal Tax Authority)</w:t>
            </w:r>
          </w:p>
        </w:tc>
        <w:tc>
          <w:tcPr/>
          <w:p>
            <w:pPr>
              <w:pStyle w:val="Compact"/>
              <w:jc w:val="left"/>
            </w:pPr>
            <w:r>
              <w:t xml:space="preserve">AED 3,820.00</w:t>
            </w:r>
          </w:p>
        </w:tc>
      </w:tr>
      <w:tr>
        <w:tc>
          <w:tcPr>
            <w:gridSpan w:val="4"/>
          </w:tcPr>
          <w:p>
            <w:pPr>
              <w:pStyle w:val="Compact"/>
              <w:jc w:val="right"/>
            </w:pPr>
            <w:r>
              <w:t xml:space="preserve">GRAND TOTAL (Incl. VAT)</w:t>
            </w:r>
          </w:p>
        </w:tc>
        <w:tc>
          <w:tcPr/>
          <w:p>
            <w:pPr>
              <w:pStyle w:val="Compact"/>
              <w:jc w:val="left"/>
            </w:pPr>
            <w:r>
              <w:t xml:space="preserve">AED 80,220.00</w:t>
            </w:r>
          </w:p>
        </w:tc>
      </w:tr>
    </w:tbl>
    <w:bookmarkEnd w:id="25"/>
    <w:bookmarkStart w:id="26" w:name="payment-terms"/>
    <w:p>
      <w:pPr>
        <w:pStyle w:val="Heading2"/>
      </w:pPr>
      <w:r>
        <w:t xml:space="preserve">3. Payment Terms</w:t>
      </w:r>
    </w:p>
    <w:p>
      <w:pPr>
        <w:pStyle w:val="FirstParagraph"/>
      </w:pPr>
      <w:r>
        <w:t xml:space="preserve">The</w:t>
      </w:r>
      <w:r>
        <w:t xml:space="preserve"> </w:t>
      </w:r>
      <w:r>
        <w:t xml:space="preserve">Lawyer</w:t>
      </w:r>
      <w:r>
        <w:t xml:space="preserve"> </w:t>
      </w:r>
      <w:r>
        <w:t xml:space="preserve">requests that the fees outlined in this</w:t>
      </w:r>
      <w:r>
        <w:t xml:space="preserve"> </w:t>
      </w:r>
      <w:r>
        <w:t xml:space="preserve">Quotation Estimate</w:t>
      </w:r>
      <w:r>
        <w:t xml:space="preserve"> </w:t>
      </w:r>
      <w:r>
        <w:t xml:space="preserve">be settled as follows: a non-refundable retainer of 40% (AED 32,088.00) upon execution of the engagement letter, 30% (AED 24,066.00) upon commencement of active litigation or transactional work, and the remaining 30% (AED 24,066.00) upon conclusion of the matter or delivery of final legal deliverables. All payments shall be made in United Arab Emirates Dirhams (AED) via bank transfer to the firm's designated account in Dubai. Invoices will be issued in accordance with the requirements of the UAE Federal Tax Authority and the Dubai Courts fee schedule.</w:t>
      </w:r>
    </w:p>
    <w:bookmarkEnd w:id="26"/>
    <w:bookmarkStart w:id="27" w:name="X985eb999f0cfcda5f1af1a675bf0b7c2e0a6c64"/>
    <w:p>
      <w:pPr>
        <w:pStyle w:val="Heading2"/>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Upon expiry, the</w:t>
      </w:r>
      <w:r>
        <w:t xml:space="preserve"> </w:t>
      </w:r>
      <w:r>
        <w:t xml:space="preserve">Lawyer</w:t>
      </w:r>
      <w:r>
        <w:t xml:space="preserve"> </w:t>
      </w:r>
      <w:r>
        <w:t xml:space="preserve">reserves the right to revise the estimated fees to reflect any changes in court fees, regulatory requirements, or market conditions in the</w:t>
      </w:r>
      <w:r>
        <w:t xml:space="preserve"> </w:t>
      </w:r>
      <w:r>
        <w:t xml:space="preserve">United Arab Emirates Dubai</w:t>
      </w:r>
      <w:r>
        <w:t xml:space="preserve"> </w:t>
      </w:r>
      <w:r>
        <w:t xml:space="preserve">legal sector.</w:t>
      </w:r>
    </w:p>
    <w:p>
      <w:pPr>
        <w:numPr>
          <w:ilvl w:val="0"/>
          <w:numId w:val="1001"/>
        </w:numPr>
        <w:pStyle w:val="Compact"/>
      </w:pPr>
      <w:r>
        <w:t xml:space="preserve">The fees set forth herein are estimates only and are subject to adjustment based on the actual complexity, duration, and scope of the legal matter. The</w:t>
      </w:r>
      <w:r>
        <w:t xml:space="preserve"> </w:t>
      </w:r>
      <w:r>
        <w:t xml:space="preserve">Lawyer</w:t>
      </w:r>
      <w:r>
        <w:t xml:space="preserve"> </w:t>
      </w:r>
      <w:r>
        <w:t xml:space="preserve">shall notify the client in writing of any material deviation exceeding 15% of the estimated total before incurring additional costs.</w:t>
      </w:r>
    </w:p>
    <w:p>
      <w:pPr>
        <w:numPr>
          <w:ilvl w:val="0"/>
          <w:numId w:val="1001"/>
        </w:numPr>
        <w:pStyle w:val="Compact"/>
      </w:pPr>
      <w:r>
        <w:t xml:space="preserve">This</w:t>
      </w:r>
      <w:r>
        <w:t xml:space="preserve"> </w:t>
      </w:r>
      <w:r>
        <w:t xml:space="preserve">Quotation Estimate</w:t>
      </w:r>
      <w:r>
        <w:t xml:space="preserve"> </w:t>
      </w:r>
      <w:r>
        <w:t xml:space="preserve">does not include costs for expert witnesses, forensic accountants, or third-party consultants, which shall be billed at actual cost with prior written approval from the client.</w:t>
      </w:r>
    </w:p>
    <w:p>
      <w:pPr>
        <w:numPr>
          <w:ilvl w:val="0"/>
          <w:numId w:val="1001"/>
        </w:numPr>
        <w:pStyle w:val="Compact"/>
      </w:pPr>
      <w:r>
        <w:t xml:space="preserve">All legal services shall be performed in compliance with the UAE Federal Law No. 23 of 1991 (Legal Profession Law), the Dubai Courts regulations, and, where applicable, the DIFC Courts Rules of Procedure.</w:t>
      </w:r>
    </w:p>
    <w:p>
      <w:pPr>
        <w:numPr>
          <w:ilvl w:val="0"/>
          <w:numId w:val="1001"/>
        </w:numPr>
        <w:pStyle w:val="Compact"/>
      </w:pPr>
      <w:r>
        <w:t xml:space="preserve">The</w:t>
      </w:r>
      <w:r>
        <w:t xml:space="preserve"> </w:t>
      </w:r>
      <w:r>
        <w:t xml:space="preserve">Lawyer</w:t>
      </w:r>
      <w:r>
        <w:t xml:space="preserve"> </w:t>
      </w:r>
      <w:r>
        <w:t xml:space="preserve">shall maintain strict confidentiality in accordance with the UAE Federal Decree-Law No. 31 of 2021 on the Protection of Personal Data and the professional ethical obligations of the Dubai Bar Association.</w:t>
      </w:r>
    </w:p>
    <w:p>
      <w:pPr>
        <w:numPr>
          <w:ilvl w:val="0"/>
          <w:numId w:val="1001"/>
        </w:numPr>
        <w:pStyle w:val="Compact"/>
      </w:pPr>
      <w:r>
        <w:t xml:space="preserve">This</w:t>
      </w:r>
      <w:r>
        <w:t xml:space="preserve"> </w:t>
      </w:r>
      <w:r>
        <w:t xml:space="preserve">Quotation Estimate</w:t>
      </w:r>
      <w:r>
        <w:t xml:space="preserve"> </w:t>
      </w:r>
      <w:r>
        <w:t xml:space="preserve">is governed by and shall be construed in accordance with the laws of the</w:t>
      </w:r>
      <w:r>
        <w:t xml:space="preserve"> </w:t>
      </w:r>
      <w:r>
        <w:t xml:space="preserve">United Arab Emirates</w:t>
      </w:r>
      <w:r>
        <w:t xml:space="preserve">. Any disputes arising from or in connection with this estimate shall be subject to the exclusive jurisdiction of the Dubai Courts, United Arab Emirates.</w:t>
      </w:r>
    </w:p>
    <w:p>
      <w:pPr>
        <w:numPr>
          <w:ilvl w:val="0"/>
          <w:numId w:val="1001"/>
        </w:numPr>
        <w:pStyle w:val="Compact"/>
      </w:pPr>
      <w:r>
        <w:t xml:space="preserve">The client acknowledges that acceptance of this</w:t>
      </w:r>
      <w:r>
        <w:t xml:space="preserve"> </w:t>
      </w:r>
      <w:r>
        <w:t xml:space="preserve">Quotation Estimate</w:t>
      </w:r>
      <w:r>
        <w:t xml:space="preserve"> </w:t>
      </w:r>
      <w:r>
        <w:t xml:space="preserve">does not guarantee a specific legal outcome. The</w:t>
      </w:r>
      <w:r>
        <w:t xml:space="preserve"> </w:t>
      </w:r>
      <w:r>
        <w:t xml:space="preserve">Lawyer</w:t>
      </w:r>
      <w:r>
        <w:t xml:space="preserve"> </w:t>
      </w:r>
      <w:r>
        <w:t xml:space="preserve">shall exercise professional diligence and competence in the representation of the client's interests in the</w:t>
      </w:r>
      <w:r>
        <w:t xml:space="preserve"> </w:t>
      </w:r>
      <w:r>
        <w:t xml:space="preserve">United Arab Emirates Dubai</w:t>
      </w:r>
      <w:r>
        <w:t xml:space="preserve"> </w:t>
      </w:r>
      <w:r>
        <w:t xml:space="preserve">jurisdiction.</w:t>
      </w:r>
    </w:p>
    <w:p>
      <w:pPr>
        <w:numPr>
          <w:ilvl w:val="0"/>
          <w:numId w:val="1001"/>
        </w:numPr>
        <w:pStyle w:val="Compact"/>
      </w:pPr>
      <w:r>
        <w:t xml:space="preserve">All communications between the</w:t>
      </w:r>
      <w:r>
        <w:t xml:space="preserve"> </w:t>
      </w:r>
      <w:r>
        <w:t xml:space="preserve">Lawyer</w:t>
      </w:r>
      <w:r>
        <w:t xml:space="preserve"> </w:t>
      </w:r>
      <w:r>
        <w:t xml:space="preserve">and the client shall be conducted in English and/or Arabic, as mutually agreed. Official court filings in the</w:t>
      </w:r>
      <w:r>
        <w:t xml:space="preserve"> </w:t>
      </w:r>
      <w:r>
        <w:t xml:space="preserve">United Arab Emirates</w:t>
      </w:r>
      <w:r>
        <w:t xml:space="preserve"> </w:t>
      </w:r>
      <w:r>
        <w:t xml:space="preserve">shall be submitted in Arabic as required by law.</w:t>
      </w:r>
    </w:p>
    <w:bookmarkEnd w:id="27"/>
    <w:bookmarkStart w:id="28" w:name="acceptance"/>
    <w:p>
      <w:pPr>
        <w:pStyle w:val="Heading2"/>
      </w:pPr>
      <w:r>
        <w:t xml:space="preserve">5.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fee structure set forth herein for the engagement of the</w:t>
      </w:r>
      <w:r>
        <w:t xml:space="preserve"> </w:t>
      </w:r>
      <w:r>
        <w:t xml:space="preserve">Lawyer</w:t>
      </w:r>
      <w:r>
        <w:t xml:space="preserve"> </w:t>
      </w:r>
      <w:r>
        <w:t xml:space="preserve">in the</w:t>
      </w:r>
      <w:r>
        <w:t xml:space="preserve"> </w:t>
      </w:r>
      <w:r>
        <w:t xml:space="preserve">United Arab Emirates Dubai</w:t>
      </w:r>
      <w:r>
        <w:t xml:space="preserve"> </w:t>
      </w:r>
      <w:r>
        <w:t xml:space="preserve">jurisdiction. This acceptance shall be effective upon countersignature by both parties and the receipt of the initial retainer payment.</w:t>
      </w:r>
    </w:p>
    <w:p>
      <w:pPr>
        <w:pStyle w:val="BodyText"/>
      </w:pPr>
      <w:r>
        <w:rPr>
          <w:bCs/>
          <w:b/>
        </w:rPr>
        <w:t xml:space="preserve">For and on behalf of the Lawyer:</w:t>
      </w:r>
    </w:p>
    <w:p>
      <w:pPr>
        <w:pStyle w:val="BodyText"/>
      </w:pPr>
      <w:r>
        <w:t xml:space="preserve">Adv. Khalid Al Mansoori</w:t>
      </w:r>
    </w:p>
    <w:p>
      <w:pPr>
        <w:pStyle w:val="BodyText"/>
      </w:pPr>
      <w:r>
        <w:t xml:space="preserve">Al Noor &amp; Partners Legal Consultancy LLC</w:t>
      </w:r>
    </w:p>
    <w:p>
      <w:pPr>
        <w:pStyle w:val="BodyText"/>
      </w:pPr>
      <w:r>
        <w:t xml:space="preserve">Dubai, United Arab Emirates</w:t>
      </w:r>
    </w:p>
    <w:p>
      <w:pPr>
        <w:pStyle w:val="BodyText"/>
      </w:pPr>
      <w:r>
        <w:t xml:space="preserve">Signature &amp; Date</w:t>
      </w:r>
    </w:p>
    <w:p>
      <w:pPr>
        <w:pStyle w:val="BodyText"/>
      </w:pPr>
      <w:r>
        <w:rPr>
          <w:bCs/>
          <w:b/>
        </w:rPr>
        <w:t xml:space="preserve">For and on behalf of the Client:</w:t>
      </w:r>
    </w:p>
    <w:p>
      <w:pPr>
        <w:pStyle w:val="BodyText"/>
      </w:pPr>
      <w:r>
        <w:t xml:space="preserve">[Client Full Name]</w:t>
      </w:r>
    </w:p>
    <w:p>
      <w:pPr>
        <w:pStyle w:val="BodyText"/>
      </w:pPr>
      <w:r>
        <w:t xml:space="preserve">[Company Name] LLC</w:t>
      </w:r>
    </w:p>
    <w:p>
      <w:pPr>
        <w:pStyle w:val="BodyText"/>
      </w:pPr>
      <w:r>
        <w:t xml:space="preserve">Dubai, United Arab Emirates</w:t>
      </w:r>
    </w:p>
    <w:p>
      <w:pPr>
        <w:pStyle w:val="BodyText"/>
      </w:pPr>
      <w:r>
        <w:t xml:space="preserve">Signature &amp; Date</w:t>
      </w:r>
    </w:p>
    <w:p>
      <w:pPr>
        <w:pStyle w:val="BodyText"/>
      </w:pPr>
      <w:r>
        <w:rPr>
          <w:bCs/>
          <w:b/>
        </w:rPr>
        <w:t xml:space="preserve">Al Noor &amp; Partners Legal Consultancy LLC</w:t>
      </w:r>
      <w:r>
        <w:t xml:space="preserve"> </w:t>
      </w:r>
      <w:r>
        <w:t xml:space="preserve">| Office 1204, Level 12, Burj Daman, DIFC, Dubai, United Arab Emirates</w:t>
      </w:r>
    </w:p>
    <w:p>
      <w:pPr>
        <w:pStyle w:val="BodyText"/>
      </w:pPr>
      <w:r>
        <w:t xml:space="preserve">CR No. 123456 | VAT No. 100XXXXXXX000000003 | Dubai Legal Affairs Department License No. UAE-DC-2019-44782</w:t>
      </w:r>
    </w:p>
    <w:p>
      <w:pPr>
        <w:pStyle w:val="BodyText"/>
      </w:pPr>
      <w:r>
        <w:t xml:space="preserve">This Quotation Estimate is a confidential document intended solely for the named client. Unauthorized reproduction or distribution is prohibited under UAE law.</w:t>
      </w:r>
    </w:p>
    <w:p>
      <w:pPr>
        <w:pStyle w:val="BodyText"/>
      </w:pPr>
      <w:r>
        <w:t xml:space="preserve">© 2025 Al Noor &amp; Partners Legal Consultancy LLC. All rights reserved. Dubai, United Arab Emirates.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United Arab Emirates Dubai</dc:title>
  <dc:creator/>
  <dc:language>en</dc:language>
  <cp:keywords/>
  <dcterms:created xsi:type="dcterms:W3CDTF">2026-10-10T08:48:51Z</dcterms:created>
  <dcterms:modified xsi:type="dcterms:W3CDTF">2026-10-10T08:48:51Z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