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Legal Services — Manchester, United Kingdom</w:t>
      </w:r>
    </w:p>
    <w:p>
      <w:pPr>
        <w:pStyle w:val="BodyText"/>
      </w:pPr>
      <w:r>
        <w:t xml:space="preserve">Quotation Reference: QTE-MAN-2025-04871  |  Date of Issue: 14 June 2025</w:t>
      </w:r>
    </w:p>
    <w:bookmarkEnd w:id="20"/>
    <w:bookmarkStart w:id="21" w:name="law-firm-details"/>
    <w:p>
      <w:pPr>
        <w:pStyle w:val="Heading3"/>
      </w:pPr>
      <w:r>
        <w:t xml:space="preserve">Law Firm Details</w:t>
      </w:r>
    </w:p>
    <w:p>
      <w:pPr>
        <w:pStyle w:val="FirstParagraph"/>
      </w:pPr>
      <w:r>
        <w:rPr>
          <w:bCs/>
          <w:b/>
        </w:rPr>
        <w:t xml:space="preserve">Whitmore &amp; Associates Solicitors LLP</w:t>
      </w:r>
      <w:r>
        <w:br/>
      </w:r>
      <w:r>
        <w:t xml:space="preserve">12 Deansgate Square, Deansgate</w:t>
      </w:r>
      <w:r>
        <w:br/>
      </w:r>
      <w:r>
        <w:t xml:space="preserve">Manchester, M3 2LQ</w:t>
      </w:r>
      <w:r>
        <w:br/>
      </w:r>
      <w:r>
        <w:t xml:space="preserve">United Kingdom</w:t>
      </w:r>
      <w:r>
        <w:br/>
      </w:r>
      <w:r>
        <w:t xml:space="preserve">Tel: +44 (0)161 496 0000</w:t>
      </w:r>
      <w:r>
        <w:br/>
      </w:r>
      <w:r>
        <w:t xml:space="preserve">Email: enquiries@whitmoreassociates.co.uk</w:t>
      </w:r>
      <w:r>
        <w:br/>
      </w:r>
      <w:r>
        <w:t xml:space="preserve">SRA Reference: 582914</w:t>
      </w:r>
    </w:p>
    <w:bookmarkEnd w:id="21"/>
    <w:bookmarkStart w:id="22" w:name="client-details"/>
    <w:p>
      <w:pPr>
        <w:pStyle w:val="Heading3"/>
      </w:pPr>
      <w:r>
        <w:t xml:space="preserve">Client Details</w:t>
      </w:r>
    </w:p>
    <w:p>
      <w:pPr>
        <w:pStyle w:val="FirstParagraph"/>
      </w:pPr>
      <w:r>
        <w:rPr>
          <w:bCs/>
          <w:b/>
        </w:rPr>
        <w:t xml:space="preserve">Mr. Jonathan R. Ashworth</w:t>
      </w:r>
      <w:r>
        <w:br/>
      </w:r>
      <w:r>
        <w:t xml:space="preserve">47 Chorlton Road</w:t>
      </w:r>
      <w:r>
        <w:br/>
      </w:r>
      <w:r>
        <w:t xml:space="preserve">Manchester, M21 9TB</w:t>
      </w:r>
      <w:r>
        <w:br/>
      </w:r>
      <w:r>
        <w:t xml:space="preserve">United Kingdom</w:t>
      </w:r>
      <w:r>
        <w:br/>
      </w:r>
      <w:r>
        <w:t xml:space="preserve">Tel: +44 (0)7700 900123</w:t>
      </w:r>
      <w:r>
        <w:br/>
      </w:r>
      <w:r>
        <w:t xml:space="preserve">Email: j.ashworth@email.co.uk</w:t>
      </w:r>
      <w:r>
        <w:br/>
      </w:r>
      <w:r>
        <w:t xml:space="preserve">Client File No: WMA-2025-3342</w:t>
      </w:r>
    </w:p>
    <w:bookmarkEnd w:id="22"/>
    <w:p>
      <w:pPr>
        <w:pStyle w:val="BodyText"/>
      </w:pPr>
      <w:r>
        <w:t xml:space="preserve">This Quotation Estimate has been prepared by Whitmore &amp; Associates Solicitors LLP, a regulated law firm practising in Manchester, United Kingdom, in response to the legal consultation held on 6 June 2025. The following Quotation Estimate sets out the estimated fees, disbursements, and terms applicable to the legal services to be provided by our Lawyer team to the above-named client. All figures are quoted in British Pounds Sterling (£) and are subject to the terms and conditions set out herein.</w:t>
      </w:r>
    </w:p>
    <w:bookmarkStart w:id="23" w:name="scope-of-legal-services"/>
    <w:p>
      <w:pPr>
        <w:pStyle w:val="Heading2"/>
      </w:pPr>
      <w:r>
        <w:t xml:space="preserve">1. Scope of Legal Services</w:t>
      </w:r>
    </w:p>
    <w:p>
      <w:pPr>
        <w:pStyle w:val="FirstParagraph"/>
      </w:pPr>
      <w:r>
        <w:t xml:space="preserve">The Lawyer at Whitmore &amp; Associates Solicitors LLP, acting on behalf of the client, will provide the following legal services in relation to a commercial property dispute concerning a leasehold agreement located in the Salford Quays district, Manchester, United Kingdom. The scope of work encompasses:</w:t>
      </w:r>
    </w:p>
    <w:p>
      <w:pPr>
        <w:numPr>
          <w:ilvl w:val="0"/>
          <w:numId w:val="1001"/>
        </w:numPr>
        <w:pStyle w:val="Compact"/>
      </w:pPr>
      <w:r>
        <w:t xml:space="preserve">Initial case assessment and review of all relevant leasehold documentation, correspondence, and planning records pertaining to the property situated in Manchester, United Kingdom.</w:t>
      </w:r>
    </w:p>
    <w:p>
      <w:pPr>
        <w:numPr>
          <w:ilvl w:val="0"/>
          <w:numId w:val="1001"/>
        </w:numPr>
        <w:pStyle w:val="Compact"/>
      </w:pPr>
      <w:r>
        <w:t xml:space="preserve">Preparation and service of a formal Letter Before Action (LBA) to the opposing party, in accordance with the Pre-Action Protocol for Commercial Disputes applicable in the United Kingdom.</w:t>
      </w:r>
    </w:p>
    <w:p>
      <w:pPr>
        <w:numPr>
          <w:ilvl w:val="0"/>
          <w:numId w:val="1001"/>
        </w:numPr>
        <w:pStyle w:val="Compact"/>
      </w:pPr>
      <w:r>
        <w:t xml:space="preserve">Attendance at up to two (2) mediation sessions to be held at the Manchester Mediation Centre, 100 King Street, Manchester, M2 6WU, United Kingdom.</w:t>
      </w:r>
    </w:p>
    <w:p>
      <w:pPr>
        <w:numPr>
          <w:ilvl w:val="0"/>
          <w:numId w:val="1001"/>
        </w:numPr>
        <w:pStyle w:val="Compact"/>
      </w:pPr>
      <w:r>
        <w:t xml:space="preserve">Preparation of a full Statement of Case, including Particulars of Claim, for filing at the Manchester County Court, 11 Bridge Street West, Manchester, M3 3LZ, United Kingdom, should mediation prove unsuccessful.</w:t>
      </w:r>
    </w:p>
    <w:p>
      <w:pPr>
        <w:numPr>
          <w:ilvl w:val="0"/>
          <w:numId w:val="1001"/>
        </w:numPr>
        <w:pStyle w:val="Compact"/>
      </w:pPr>
      <w:r>
        <w:t xml:space="preserve">Representation of the client at all hearings, interlocutory applications, and the final trial before the District Judge at the Manchester County Court.</w:t>
      </w:r>
    </w:p>
    <w:p>
      <w:pPr>
        <w:numPr>
          <w:ilvl w:val="0"/>
          <w:numId w:val="1001"/>
        </w:numPr>
        <w:pStyle w:val="Compact"/>
      </w:pPr>
      <w:r>
        <w:t xml:space="preserve">Post-judgment enforcement proceedings, including the preparation of a Writ of Control and coordination with HMRC enforcement officers in the Manchester and Greater Manchester region of the United Kingdom.</w:t>
      </w:r>
    </w:p>
    <w:p>
      <w:pPr>
        <w:numPr>
          <w:ilvl w:val="0"/>
          <w:numId w:val="1001"/>
        </w:numPr>
        <w:pStyle w:val="Compact"/>
      </w:pPr>
      <w:r>
        <w:t xml:space="preserve">General legal advice and correspondence throughout the duration of the matter, limited to a maximum of twenty-five (25) hours of professional time.</w:t>
      </w:r>
    </w:p>
    <w:bookmarkEnd w:id="23"/>
    <w:bookmarkStart w:id="24" w:name="fee-breakdown-quotation-estimate-summary"/>
    <w:p>
      <w:pPr>
        <w:pStyle w:val="Heading2"/>
      </w:pPr>
      <w:r>
        <w:t xml:space="preserve">2. Fee Breakdown &amp;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Hourly Rate (£)</w:t>
            </w:r>
          </w:p>
        </w:tc>
        <w:tc>
          <w:tcPr/>
          <w:p>
            <w:pPr>
              <w:pStyle w:val="Compact"/>
              <w:jc w:val="left"/>
            </w:pPr>
            <w:r>
              <w:t xml:space="preserve">Estimated Cost (£)</w:t>
            </w:r>
          </w:p>
        </w:tc>
      </w:tr>
      <w:tr>
        <w:tc>
          <w:tcPr/>
          <w:p>
            <w:pPr>
              <w:pStyle w:val="Compact"/>
              <w:jc w:val="left"/>
            </w:pPr>
            <w:r>
              <w:t xml:space="preserve">1</w:t>
            </w:r>
          </w:p>
        </w:tc>
        <w:tc>
          <w:tcPr/>
          <w:p>
            <w:pPr>
              <w:pStyle w:val="Compact"/>
              <w:jc w:val="left"/>
            </w:pPr>
            <w:r>
              <w:t xml:space="preserve">Case assessment, document review, and initial legal strategy formulation by the assigned Lawyer</w:t>
            </w:r>
          </w:p>
        </w:tc>
        <w:tc>
          <w:tcPr/>
          <w:p>
            <w:pPr>
              <w:pStyle w:val="Compact"/>
              <w:jc w:val="left"/>
            </w:pPr>
            <w:r>
              <w:t xml:space="preserve">6.0</w:t>
            </w:r>
          </w:p>
        </w:tc>
        <w:tc>
          <w:tcPr/>
          <w:p>
            <w:pPr>
              <w:pStyle w:val="Compact"/>
              <w:jc w:val="left"/>
            </w:pPr>
            <w:r>
              <w:t xml:space="preserve">285</w:t>
            </w:r>
          </w:p>
        </w:tc>
        <w:tc>
          <w:tcPr/>
          <w:p>
            <w:pPr>
              <w:pStyle w:val="Compact"/>
              <w:jc w:val="left"/>
            </w:pPr>
            <w:r>
              <w:t xml:space="preserve">1,710.00</w:t>
            </w:r>
          </w:p>
        </w:tc>
      </w:tr>
      <w:tr>
        <w:tc>
          <w:tcPr/>
          <w:p>
            <w:pPr>
              <w:pStyle w:val="Compact"/>
              <w:jc w:val="left"/>
            </w:pPr>
            <w:r>
              <w:t xml:space="preserve">2</w:t>
            </w:r>
          </w:p>
        </w:tc>
        <w:tc>
          <w:tcPr/>
          <w:p>
            <w:pPr>
              <w:pStyle w:val="Compact"/>
              <w:jc w:val="left"/>
            </w:pPr>
            <w:r>
              <w:t xml:space="preserve">Drafting and service of Letter Before Action and subsequent correspondence</w:t>
            </w:r>
          </w:p>
        </w:tc>
        <w:tc>
          <w:tcPr/>
          <w:p>
            <w:pPr>
              <w:pStyle w:val="Compact"/>
              <w:jc w:val="left"/>
            </w:pPr>
            <w:r>
              <w:t xml:space="preserve">4.5</w:t>
            </w:r>
          </w:p>
        </w:tc>
        <w:tc>
          <w:tcPr/>
          <w:p>
            <w:pPr>
              <w:pStyle w:val="Compact"/>
              <w:jc w:val="left"/>
            </w:pPr>
            <w:r>
              <w:t xml:space="preserve">285</w:t>
            </w:r>
          </w:p>
        </w:tc>
        <w:tc>
          <w:tcPr/>
          <w:p>
            <w:pPr>
              <w:pStyle w:val="Compact"/>
              <w:jc w:val="left"/>
            </w:pPr>
            <w:r>
              <w:t xml:space="preserve">1,282.50</w:t>
            </w:r>
          </w:p>
        </w:tc>
      </w:tr>
      <w:tr>
        <w:tc>
          <w:tcPr/>
          <w:p>
            <w:pPr>
              <w:pStyle w:val="Compact"/>
              <w:jc w:val="left"/>
            </w:pPr>
            <w:r>
              <w:t xml:space="preserve">3</w:t>
            </w:r>
          </w:p>
        </w:tc>
        <w:tc>
          <w:tcPr/>
          <w:p>
            <w:pPr>
              <w:pStyle w:val="Compact"/>
              <w:jc w:val="left"/>
            </w:pPr>
            <w:r>
              <w:t xml:space="preserve">Preparation for and attendance at mediation sessions (Manchester, United Kingdom)</w:t>
            </w:r>
          </w:p>
        </w:tc>
        <w:tc>
          <w:tcPr/>
          <w:p>
            <w:pPr>
              <w:pStyle w:val="Compact"/>
              <w:jc w:val="left"/>
            </w:pPr>
            <w:r>
              <w:t xml:space="preserve">8.0</w:t>
            </w:r>
          </w:p>
        </w:tc>
        <w:tc>
          <w:tcPr/>
          <w:p>
            <w:pPr>
              <w:pStyle w:val="Compact"/>
              <w:jc w:val="left"/>
            </w:pPr>
            <w:r>
              <w:t xml:space="preserve">285</w:t>
            </w:r>
          </w:p>
        </w:tc>
        <w:tc>
          <w:tcPr/>
          <w:p>
            <w:pPr>
              <w:pStyle w:val="Compact"/>
              <w:jc w:val="left"/>
            </w:pPr>
            <w:r>
              <w:t xml:space="preserve">2,280.00</w:t>
            </w:r>
          </w:p>
        </w:tc>
      </w:tr>
      <w:tr>
        <w:tc>
          <w:tcPr/>
          <w:p>
            <w:pPr>
              <w:pStyle w:val="Compact"/>
              <w:jc w:val="left"/>
            </w:pPr>
            <w:r>
              <w:t xml:space="preserve">4</w:t>
            </w:r>
          </w:p>
        </w:tc>
        <w:tc>
          <w:tcPr/>
          <w:p>
            <w:pPr>
              <w:pStyle w:val="Compact"/>
              <w:jc w:val="left"/>
            </w:pPr>
            <w:r>
              <w:t xml:space="preserve">Drafting of Particulars of Claim and Statement of Case for Manchester County Court</w:t>
            </w:r>
          </w:p>
        </w:tc>
        <w:tc>
          <w:tcPr/>
          <w:p>
            <w:pPr>
              <w:pStyle w:val="Compact"/>
              <w:jc w:val="left"/>
            </w:pPr>
            <w:r>
              <w:t xml:space="preserve">10.0</w:t>
            </w:r>
          </w:p>
        </w:tc>
        <w:tc>
          <w:tcPr/>
          <w:p>
            <w:pPr>
              <w:pStyle w:val="Compact"/>
              <w:jc w:val="left"/>
            </w:pPr>
            <w:r>
              <w:t xml:space="preserve">285</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Court representation, hearings, and trial advocacy (estimated 3-day trial)</w:t>
            </w:r>
          </w:p>
        </w:tc>
        <w:tc>
          <w:tcPr/>
          <w:p>
            <w:pPr>
              <w:pStyle w:val="Compact"/>
              <w:jc w:val="left"/>
            </w:pPr>
            <w:r>
              <w:t xml:space="preserve">24.0</w:t>
            </w:r>
          </w:p>
        </w:tc>
        <w:tc>
          <w:tcPr/>
          <w:p>
            <w:pPr>
              <w:pStyle w:val="Compact"/>
              <w:jc w:val="left"/>
            </w:pPr>
            <w:r>
              <w:t xml:space="preserve">320</w:t>
            </w:r>
          </w:p>
        </w:tc>
        <w:tc>
          <w:tcPr/>
          <w:p>
            <w:pPr>
              <w:pStyle w:val="Compact"/>
              <w:jc w:val="left"/>
            </w:pPr>
            <w:r>
              <w:t xml:space="preserve">7,680.00</w:t>
            </w:r>
          </w:p>
        </w:tc>
      </w:tr>
      <w:tr>
        <w:tc>
          <w:tcPr/>
          <w:p>
            <w:pPr>
              <w:pStyle w:val="Compact"/>
              <w:jc w:val="left"/>
            </w:pPr>
            <w:r>
              <w:t xml:space="preserve">6</w:t>
            </w:r>
          </w:p>
        </w:tc>
        <w:tc>
          <w:tcPr/>
          <w:p>
            <w:pPr>
              <w:pStyle w:val="Compact"/>
              <w:jc w:val="left"/>
            </w:pPr>
            <w:r>
              <w:t xml:space="preserve">Post-judgment enforcement and Writ of Control preparation</w:t>
            </w:r>
          </w:p>
        </w:tc>
        <w:tc>
          <w:tcPr/>
          <w:p>
            <w:pPr>
              <w:pStyle w:val="Compact"/>
              <w:jc w:val="left"/>
            </w:pPr>
            <w:r>
              <w:t xml:space="preserve">5.0</w:t>
            </w:r>
          </w:p>
        </w:tc>
        <w:tc>
          <w:tcPr/>
          <w:p>
            <w:pPr>
              <w:pStyle w:val="Compact"/>
              <w:jc w:val="left"/>
            </w:pPr>
            <w:r>
              <w:t xml:space="preserve">285</w:t>
            </w:r>
          </w:p>
        </w:tc>
        <w:tc>
          <w:tcPr/>
          <w:p>
            <w:pPr>
              <w:pStyle w:val="Compact"/>
              <w:jc w:val="left"/>
            </w:pPr>
            <w:r>
              <w:t xml:space="preserve">1,425.00</w:t>
            </w:r>
          </w:p>
        </w:tc>
      </w:tr>
      <w:tr>
        <w:tc>
          <w:tcPr/>
          <w:p>
            <w:pPr>
              <w:pStyle w:val="Compact"/>
              <w:jc w:val="left"/>
            </w:pPr>
            <w:r>
              <w:t xml:space="preserve">7</w:t>
            </w:r>
          </w:p>
        </w:tc>
        <w:tc>
          <w:tcPr/>
          <w:p>
            <w:pPr>
              <w:pStyle w:val="Compact"/>
              <w:jc w:val="left"/>
            </w:pPr>
            <w:r>
              <w:t xml:space="preserve">General legal advice, client consultations, and case management correspondence</w:t>
            </w:r>
          </w:p>
        </w:tc>
        <w:tc>
          <w:tcPr/>
          <w:p>
            <w:pPr>
              <w:pStyle w:val="Compact"/>
              <w:jc w:val="left"/>
            </w:pPr>
            <w:r>
              <w:t xml:space="preserve">7.5</w:t>
            </w:r>
          </w:p>
        </w:tc>
        <w:tc>
          <w:tcPr/>
          <w:p>
            <w:pPr>
              <w:pStyle w:val="Compact"/>
              <w:jc w:val="left"/>
            </w:pPr>
            <w:r>
              <w:t xml:space="preserve">285</w:t>
            </w:r>
          </w:p>
        </w:tc>
        <w:tc>
          <w:tcPr/>
          <w:p>
            <w:pPr>
              <w:pStyle w:val="Compact"/>
              <w:jc w:val="left"/>
            </w:pPr>
            <w:r>
              <w:t xml:space="preserve">2,137.50</w:t>
            </w:r>
          </w:p>
        </w:tc>
      </w:tr>
      <w:tr>
        <w:tc>
          <w:tcPr>
            <w:gridSpan w:val="4"/>
          </w:tcPr>
          <w:p>
            <w:pPr>
              <w:pStyle w:val="Compact"/>
              <w:jc w:val="right"/>
            </w:pPr>
            <w:r>
              <w:t xml:space="preserve">Subtotal — Professional Legal Fees</w:t>
            </w:r>
          </w:p>
        </w:tc>
        <w:tc>
          <w:tcPr/>
          <w:p>
            <w:pPr>
              <w:pStyle w:val="Compact"/>
              <w:jc w:val="left"/>
            </w:pPr>
            <w:r>
              <w:t xml:space="preserve">£19,365.00</w:t>
            </w:r>
          </w:p>
        </w:tc>
      </w:tr>
      <w:tr>
        <w:tc>
          <w:tcPr>
            <w:gridSpan w:val="4"/>
          </w:tcPr>
          <w:p>
            <w:pPr>
              <w:pStyle w:val="Compact"/>
              <w:jc w:val="left"/>
            </w:pPr>
            <w:r>
              <w:t xml:space="preserve">Estimated Disbursements (Court filing fees, HMCTS charges, travel within Manchester and Greater Manchester, photocopying, and postage)</w:t>
            </w:r>
          </w:p>
        </w:tc>
        <w:tc>
          <w:tcPr/>
          <w:p>
            <w:pPr>
              <w:pStyle w:val="Compact"/>
              <w:jc w:val="left"/>
            </w:pPr>
            <w:r>
              <w:t xml:space="preserve">£1,240.00</w:t>
            </w:r>
          </w:p>
        </w:tc>
      </w:tr>
      <w:tr>
        <w:tc>
          <w:tcPr>
            <w:gridSpan w:val="4"/>
          </w:tcPr>
          <w:p>
            <w:pPr>
              <w:pStyle w:val="Compact"/>
              <w:jc w:val="left"/>
            </w:pPr>
            <w:r>
              <w:t xml:space="preserve">VAT @ 20% (where applicable under UK VAT regulations)</w:t>
            </w:r>
          </w:p>
        </w:tc>
        <w:tc>
          <w:tcPr/>
          <w:p>
            <w:pPr>
              <w:pStyle w:val="Compact"/>
              <w:jc w:val="left"/>
            </w:pPr>
            <w:r>
              <w:t xml:space="preserve">£4,121.00</w:t>
            </w:r>
          </w:p>
        </w:tc>
      </w:tr>
      <w:tr>
        <w:tc>
          <w:tcPr>
            <w:gridSpan w:val="4"/>
          </w:tcPr>
          <w:p>
            <w:pPr>
              <w:pStyle w:val="Compact"/>
              <w:jc w:val="right"/>
            </w:pPr>
            <w:r>
              <w:t xml:space="preserve">TOTAL ESTIMATED QUOTATION (Inclusive of VAT)</w:t>
            </w:r>
          </w:p>
        </w:tc>
        <w:tc>
          <w:tcPr/>
          <w:p>
            <w:pPr>
              <w:pStyle w:val="Compact"/>
              <w:jc w:val="left"/>
            </w:pPr>
            <w:r>
              <w:t xml:space="preserve">£24,726.00</w:t>
            </w:r>
          </w:p>
        </w:tc>
      </w:tr>
    </w:tbl>
    <w:bookmarkEnd w:id="24"/>
    <w:bookmarkStart w:id="25" w:name="payment-terms"/>
    <w:p>
      <w:pPr>
        <w:pStyle w:val="Heading2"/>
      </w:pPr>
      <w:r>
        <w:t xml:space="preserve">3. Payment Terms</w:t>
      </w:r>
    </w:p>
    <w:p>
      <w:pPr>
        <w:pStyle w:val="FirstParagraph"/>
      </w:pPr>
      <w:r>
        <w:t xml:space="preserve">Unless otherwise agreed in writing between the Lawyer at Whitmore &amp; Associates Solicitors LLP and the client, payment of the fees set out in this Quotation Estimate shall be made as follows:</w:t>
      </w:r>
    </w:p>
    <w:p>
      <w:pPr>
        <w:numPr>
          <w:ilvl w:val="0"/>
          <w:numId w:val="1002"/>
        </w:numPr>
        <w:pStyle w:val="Compact"/>
      </w:pPr>
      <w:r>
        <w:t xml:space="preserve">A retainer payment of 25% of the total estimated Quotation amount (£6,181.50) is due within seven (7) calendar days of acceptance of this Quotation Estimate.</w:t>
      </w:r>
    </w:p>
    <w:p>
      <w:pPr>
        <w:numPr>
          <w:ilvl w:val="0"/>
          <w:numId w:val="1002"/>
        </w:numPr>
        <w:pStyle w:val="Compact"/>
      </w:pPr>
      <w:r>
        <w:t xml:space="preserve">Monthly interim invoices will be issued on the last working day of each calendar month for professional time incurred and disbursements paid on the client's behalf.</w:t>
      </w:r>
    </w:p>
    <w:p>
      <w:pPr>
        <w:numPr>
          <w:ilvl w:val="0"/>
          <w:numId w:val="1002"/>
        </w:numPr>
        <w:pStyle w:val="Compact"/>
      </w:pPr>
      <w:r>
        <w:t xml:space="preserve">The balance of all outstanding fees and disbursements shall be payable within fourteen (14) calendar days of the final invoice, which will be issued upon conclusion of the matter or within thirty (30) days of the final court hearing, whichever is earlier.</w:t>
      </w:r>
    </w:p>
    <w:p>
      <w:pPr>
        <w:numPr>
          <w:ilvl w:val="0"/>
          <w:numId w:val="1002"/>
        </w:numPr>
        <w:pStyle w:val="Compact"/>
      </w:pPr>
      <w:r>
        <w:t xml:space="preserve">All payments are to be made by BACS transfer to the firm's designated client account at Lloyds Bank, Manchester, United Kingdom (Sort Code: 50 15 30, Account No: 88291407). Cheques are not accepted.</w:t>
      </w:r>
    </w:p>
    <w:bookmarkEnd w:id="25"/>
    <w:bookmarkStart w:id="26" w:name="terms-and-conditions"/>
    <w:p>
      <w:pPr>
        <w:pStyle w:val="Heading2"/>
      </w:pPr>
      <w:r>
        <w:t xml:space="preserve">4. Terms and Conditions</w:t>
      </w:r>
    </w:p>
    <w:p>
      <w:pPr>
        <w:numPr>
          <w:ilvl w:val="0"/>
          <w:numId w:val="1003"/>
        </w:numPr>
        <w:pStyle w:val="Compact"/>
      </w:pPr>
      <w:r>
        <w:t xml:space="preserve">This Quotation Estimate is valid for a period of thirty (30) calendar days from the date of issue. After this period, the Lawyer reserves the right to revise the fees and disbursements to reflect current market rates in Manchester, United Kingdom.</w:t>
      </w:r>
    </w:p>
    <w:p>
      <w:pPr>
        <w:numPr>
          <w:ilvl w:val="0"/>
          <w:numId w:val="1003"/>
        </w:numPr>
        <w:pStyle w:val="Compact"/>
      </w:pPr>
      <w:r>
        <w:t xml:space="preserve">The fees set out in this Quotation Estimate are estimates only and are based on the information available at the time of preparation. The actual fees may vary depending on the complexity of the matter, the number of court hearings required, and any unforeseen developments in the legal proceedings.</w:t>
      </w:r>
    </w:p>
    <w:p>
      <w:pPr>
        <w:numPr>
          <w:ilvl w:val="0"/>
          <w:numId w:val="1003"/>
        </w:numPr>
        <w:pStyle w:val="Compact"/>
      </w:pPr>
      <w:r>
        <w:t xml:space="preserve">The Lawyer at Whitmore &amp; Associates Solicitors LLP is regulated by the Solicitors Regulation Authority (SRA) of England and Wales. The firm holds Professional Indemnity Insurance in the sum of £10,000,000, as required by SRA rules applicable in the United Kingdom.</w:t>
      </w:r>
    </w:p>
    <w:p>
      <w:pPr>
        <w:numPr>
          <w:ilvl w:val="0"/>
          <w:numId w:val="1003"/>
        </w:numPr>
        <w:pStyle w:val="Compact"/>
      </w:pPr>
      <w:r>
        <w:t xml:space="preserve">Client funds held by the firm are kept in a separate client account in accordance with SRA Accounts Rules. The firm is based in Manchester, United Kingdom, and all client correspondence will be sent from the firm's Deansgate Square office unless otherwise directed by the client.</w:t>
      </w:r>
    </w:p>
    <w:p>
      <w:pPr>
        <w:numPr>
          <w:ilvl w:val="0"/>
          <w:numId w:val="1003"/>
        </w:numPr>
        <w:pStyle w:val="Compact"/>
      </w:pPr>
      <w:r>
        <w:t xml:space="preserve">This Quotation Estimate does not constitute a fixed-fee agreement. The client acknowledges that the Lawyer may, in exceptional circumstances, require additional time beyond the estimated hours set out above, and any such additional time will be billed at the applicable hourly rate stated herein.</w:t>
      </w:r>
    </w:p>
    <w:p>
      <w:pPr>
        <w:numPr>
          <w:ilvl w:val="0"/>
          <w:numId w:val="1003"/>
        </w:numPr>
        <w:pStyle w:val="Compact"/>
      </w:pPr>
      <w:r>
        <w:t xml:space="preserve">The client agrees to provide all relevant documents, information, and access to the property in question in a timely manner. Failure to do so may result in delays to the legal proceedings and additional costs, which will be reflected in subsequent invoices.</w:t>
      </w:r>
    </w:p>
    <w:p>
      <w:pPr>
        <w:numPr>
          <w:ilvl w:val="0"/>
          <w:numId w:val="1003"/>
        </w:numPr>
        <w:pStyle w:val="Compact"/>
      </w:pPr>
      <w:r>
        <w:t xml:space="preserve">Any dispute arising from or in connection with this Quotation Estimate or the legal services provided shall be subject to the exclusive jurisdiction of the courts of England and Wales, with the primary venue being the Manchester County Court, United Kingdom.</w:t>
      </w:r>
    </w:p>
    <w:p>
      <w:pPr>
        <w:numPr>
          <w:ilvl w:val="0"/>
          <w:numId w:val="1003"/>
        </w:numPr>
        <w:pStyle w:val="Compact"/>
      </w:pPr>
      <w:r>
        <w:t xml:space="preserve">The firm's privacy policy, data protection notice, and terms of business are available at the firm's Manchester office and on the firm's website. By accepting this Quotation Estimate, the client consents to the processing of personal data in accordance with the UK General Data Protection Regulation (UK GDPR) and the Data Protection Act 2018.</w:t>
      </w:r>
    </w:p>
    <w:p>
      <w:pPr>
        <w:pStyle w:val="FirstParagraph"/>
      </w:pPr>
      <w:r>
        <w:rPr>
          <w:bCs/>
          <w:b/>
        </w:rPr>
        <w:t xml:space="preserve">Quotation Validity Notice:</w:t>
      </w:r>
      <w:r>
        <w:t xml:space="preserve"> </w:t>
      </w:r>
      <w:r>
        <w:t xml:space="preserve">This Quotation Estimate (Ref: QTE-MAN-2025-04871) is valid until 14 July 2025. The Lawyer at Whitmore &amp; Associates Solicitors LLP reserves the right to withdraw or amend this Quotation Estimate prior to acceptance without prior notice. All fees are exclusive of any additional court-ordered costs or third-party expert fees unless expressly stated above.</w:t>
      </w:r>
    </w:p>
    <w:bookmarkEnd w:id="26"/>
    <w:bookmarkStart w:id="27" w:name="acceptance-of-quotation-estimate"/>
    <w:p>
      <w:pPr>
        <w:pStyle w:val="Heading2"/>
      </w:pPr>
      <w:r>
        <w:t xml:space="preserve">5. Acceptance of Quotation Estimate</w:t>
      </w:r>
    </w:p>
    <w:p>
      <w:pPr>
        <w:pStyle w:val="FirstParagraph"/>
      </w:pPr>
      <w:r>
        <w:t xml:space="preserve">By signing below, the client acknowledges that they have read, understood, and accepted the terms, conditions, and fee structure set out in this Quotation Estimate for the legal services to be provided by the Lawyer at Whitmore &amp; Associates Solicitors LLP, Manchester, United Kingdom. The client confirms that they have had the opportunity to seek independent legal advice prior to accepting this Quotation Estimate.</w:t>
      </w:r>
    </w:p>
    <w:p>
      <w:pPr>
        <w:pStyle w:val="BodyText"/>
      </w:pPr>
      <w:r>
        <w:rPr>
          <w:bCs/>
          <w:b/>
        </w:rPr>
        <w:t xml:space="preserve">For and on behalf of Whitmore &amp; Associates Solicitors LLP</w:t>
      </w:r>
      <w:r>
        <w:br/>
      </w:r>
      <w:r>
        <w:t xml:space="preserve">Name: Sarah E. Whitmore, Partner &amp; Lead Lawyer</w:t>
      </w:r>
      <w:r>
        <w:br/>
      </w:r>
      <w:r>
        <w:t xml:space="preserve">Signature: ______________________________</w:t>
      </w:r>
      <w:r>
        <w:br/>
      </w:r>
      <w:r>
        <w:t xml:space="preserve">Date: ______________________________</w:t>
      </w:r>
    </w:p>
    <w:p>
      <w:pPr>
        <w:pStyle w:val="BodyText"/>
      </w:pPr>
      <w:r>
        <w:rPr>
          <w:bCs/>
          <w:b/>
        </w:rPr>
        <w:t xml:space="preserve">Client Acceptance</w:t>
      </w:r>
      <w:r>
        <w:br/>
      </w:r>
      <w:r>
        <w:t xml:space="preserve">Name: Mr. Jonathan R. Ashworth</w:t>
      </w:r>
      <w:r>
        <w:br/>
      </w:r>
      <w:r>
        <w:t xml:space="preserve">Signature: ______________________________</w:t>
      </w:r>
      <w:r>
        <w:br/>
      </w:r>
      <w:r>
        <w:t xml:space="preserve">Date: ______________________________</w:t>
      </w:r>
    </w:p>
    <w:p>
      <w:pPr>
        <w:pStyle w:val="BodyText"/>
      </w:pPr>
      <w:r>
        <w:t xml:space="preserve">Whitmore &amp; Associates Solicitors LLP — 12 Deansgate Square, Deansgate, Manchester, M3 2LQ, United Kingdom</w:t>
      </w:r>
      <w:r>
        <w:br/>
      </w:r>
      <w:r>
        <w:t xml:space="preserve">Registered in England and Wales No. 05829140  |  SRA Firm Reference: 582914  |  VAT Registration: GB 948 2914 07</w:t>
      </w:r>
      <w:r>
        <w:br/>
      </w:r>
      <w:r>
        <w:t xml:space="preserve">This Quotation Estimate is a confidential document intended solely for the named client. Unauthorised reproduction or distribution is prohibited under the Copyright, Designs and Patents Act 1988 (United Kingdom).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Manchester, United Kingdom</dc:title>
  <dc:creator/>
  <dc:language>en-GB</dc:language>
  <cp:keywords/>
  <dcterms:created xsi:type="dcterms:W3CDTF">2026-10-10T08:48:40Z</dcterms:created>
  <dcterms:modified xsi:type="dcterms:W3CDTF">2026-10-10T08:48:40Z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