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Hartwell, Brennan &amp; Associates, LLP</w:t>
      </w:r>
    </w:p>
    <w:p>
      <w:pPr>
        <w:pStyle w:val="BodyText"/>
      </w:pPr>
      <w:r>
        <w:t xml:space="preserve">1200 Smith Street, Suite 2400, Houston, Texas 77002</w:t>
      </w:r>
      <w:r>
        <w:br/>
      </w:r>
      <w:r>
        <w:t xml:space="preserve">United States | Tel: (713) 555-0187 | Fax: (713) 555-0192</w:t>
      </w:r>
      <w:r>
        <w:br/>
      </w:r>
      <w:r>
        <w:t xml:space="preserve">Email: intake@hartwellbrennan.com | Bar Registration: TX-448291</w:t>
      </w:r>
    </w:p>
    <w:p>
      <w:pPr>
        <w:pStyle w:val="BodyText"/>
      </w:pPr>
      <w:r>
        <w:t xml:space="preserve">Quotation Estimate — Legal Services</w:t>
      </w:r>
    </w:p>
    <w:bookmarkStart w:id="20" w:name="prepared-for-client"/>
    <w:p>
      <w:pPr>
        <w:pStyle w:val="Heading3"/>
      </w:pPr>
      <w:r>
        <w:t xml:space="preserve">Prepared For (Client)</w:t>
      </w:r>
    </w:p>
    <w:p>
      <w:pPr>
        <w:pStyle w:val="FirstParagraph"/>
      </w:pPr>
      <w:r>
        <w:rPr>
          <w:bCs/>
          <w:b/>
        </w:rPr>
        <w:t xml:space="preserve">Name:</w:t>
      </w:r>
      <w:r>
        <w:t xml:space="preserve"> </w:t>
      </w:r>
      <w:r>
        <w:t xml:space="preserve">Mr. Jonathan R. Caldwell</w:t>
      </w:r>
    </w:p>
    <w:p>
      <w:pPr>
        <w:pStyle w:val="BodyText"/>
      </w:pPr>
      <w:r>
        <w:rPr>
          <w:bCs/>
          <w:b/>
        </w:rPr>
        <w:t xml:space="preserve">Address:</w:t>
      </w:r>
      <w:r>
        <w:t xml:space="preserve"> </w:t>
      </w:r>
      <w:r>
        <w:t xml:space="preserve">4821 Westheimer Road, Houston, TX 77056</w:t>
      </w:r>
    </w:p>
    <w:p>
      <w:pPr>
        <w:pStyle w:val="BodyText"/>
      </w:pPr>
      <w:r>
        <w:rPr>
          <w:bCs/>
          <w:b/>
        </w:rPr>
        <w:t xml:space="preserve">United States</w:t>
      </w:r>
    </w:p>
    <w:p>
      <w:pPr>
        <w:pStyle w:val="BodyText"/>
      </w:pPr>
      <w:r>
        <w:rPr>
          <w:bCs/>
          <w:b/>
        </w:rPr>
        <w:t xml:space="preserve">Phone:</w:t>
      </w:r>
      <w:r>
        <w:t xml:space="preserve"> </w:t>
      </w:r>
      <w:r>
        <w:t xml:space="preserve">(281) 555-3342</w:t>
      </w:r>
    </w:p>
    <w:p>
      <w:pPr>
        <w:pStyle w:val="BodyText"/>
      </w:pPr>
      <w:r>
        <w:rPr>
          <w:bCs/>
          <w:b/>
        </w:rPr>
        <w:t xml:space="preserve">Email:</w:t>
      </w:r>
      <w:r>
        <w:t xml:space="preserve"> </w:t>
      </w:r>
      <w:r>
        <w:t xml:space="preserve">j.caldwell@email.com</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Attorney of Record:</w:t>
      </w:r>
      <w:r>
        <w:t xml:space="preserve"> </w:t>
      </w:r>
      <w:r>
        <w:t xml:space="preserve">Ms. Diane L. Hartwell, Esq.</w:t>
      </w:r>
    </w:p>
    <w:p>
      <w:pPr>
        <w:pStyle w:val="BodyText"/>
      </w:pPr>
      <w:r>
        <w:rPr>
          <w:bCs/>
          <w:b/>
        </w:rPr>
        <w:t xml:space="preserve">Matter Type:</w:t>
      </w:r>
      <w:r>
        <w:t xml:space="preserve"> </w:t>
      </w:r>
      <w:r>
        <w:t xml:space="preserve">Commercial Litigation — Breach of Contract</w:t>
      </w:r>
    </w:p>
    <w:bookmarkEnd w:id="21"/>
    <w:p>
      <w:pPr>
        <w:pStyle w:val="BodyText"/>
      </w:pPr>
      <w:r>
        <w:t xml:space="preserve">Dear Mr. Caldwell,</w:t>
      </w:r>
    </w:p>
    <w:p>
      <w:pPr>
        <w:pStyle w:val="BodyText"/>
      </w:pPr>
      <w:r>
        <w:t xml:space="preserve">Thank you for contacting Hartwell, Brennan &amp; Associates, LLP regarding your legal matter. This</w:t>
      </w:r>
      <w:r>
        <w:t xml:space="preserve"> </w:t>
      </w:r>
      <w:r>
        <w:t xml:space="preserve">Quotation Estimate</w:t>
      </w:r>
      <w:r>
        <w:t xml:space="preserve"> </w:t>
      </w:r>
      <w:r>
        <w:t xml:space="preserve">has been prepared by our</w:t>
      </w:r>
      <w:r>
        <w:t xml:space="preserve"> </w:t>
      </w:r>
      <w:r>
        <w:t xml:space="preserve">Lawyer</w:t>
      </w:r>
      <w:r>
        <w:t xml:space="preserve"> </w:t>
      </w:r>
      <w:r>
        <w:t xml:space="preserve">team to provide you with a comprehensive and transparent breakdown of the anticipated professional fees, costs, and expenses associated with representing your interests in the pending commercial litigation matter. As a licensed</w:t>
      </w:r>
      <w:r>
        <w:t xml:space="preserve"> </w:t>
      </w:r>
      <w:r>
        <w:t xml:space="preserve">Lawyer</w:t>
      </w:r>
      <w:r>
        <w:t xml:space="preserve"> </w:t>
      </w:r>
      <w:r>
        <w:t xml:space="preserve">operating within the jurisdiction of</w:t>
      </w:r>
      <w:r>
        <w:t xml:space="preserve"> </w:t>
      </w:r>
      <w:r>
        <w:t xml:space="preserve">United States Houston</w:t>
      </w:r>
      <w:r>
        <w:t xml:space="preserve">, our firm is fully authorized to practice before all state and federal courts in the Houston metropolitan area, including the U.S. District Court for the Southern District of Texas and the Harris County Civil District Courts.</w:t>
      </w:r>
    </w:p>
    <w:p>
      <w:pPr>
        <w:pStyle w:val="BodyText"/>
      </w:pPr>
      <w:r>
        <w:t xml:space="preserve">This</w:t>
      </w:r>
      <w:r>
        <w:t xml:space="preserve"> </w:t>
      </w:r>
      <w:r>
        <w:t xml:space="preserve">Quotation Estimate</w:t>
      </w:r>
      <w:r>
        <w:t xml:space="preserve"> </w:t>
      </w:r>
      <w:r>
        <w:t xml:space="preserve">reflects our professional assessment based on the preliminary facts and documents you have provided during our initial consultation on June 5, 2025. Please note that the figures presented herein are estimates and may be subject to adjustment should the scope of the matter expand or contract during the course of representation. All fees are quoted in United States Dollars (USD) and are subject to the applicable Texas State Bar rules governing attorney compensation.</w:t>
      </w:r>
    </w:p>
    <w:bookmarkStart w:id="22" w:name="scope-of-legal-services"/>
    <w:p>
      <w:pPr>
        <w:pStyle w:val="Heading2"/>
      </w:pPr>
      <w:r>
        <w:t xml:space="preserve">Scope of Legal Services</w:t>
      </w:r>
    </w:p>
    <w:p>
      <w:pPr>
        <w:pStyle w:val="FirstParagraph"/>
      </w:pPr>
      <w:r>
        <w:t xml:space="preserve">The</w:t>
      </w:r>
      <w:r>
        <w:t xml:space="preserve"> </w:t>
      </w:r>
      <w:r>
        <w:t xml:space="preserve">Lawyer</w:t>
      </w:r>
      <w:r>
        <w:t xml:space="preserve"> </w:t>
      </w:r>
      <w:r>
        <w:t xml:space="preserve">services outlined in this</w:t>
      </w:r>
      <w:r>
        <w:t xml:space="preserve"> </w:t>
      </w:r>
      <w:r>
        <w:t xml:space="preserve">Quotation Estimate</w:t>
      </w:r>
      <w:r>
        <w:t xml:space="preserve"> </w:t>
      </w:r>
      <w:r>
        <w:t xml:space="preserve">encompass the following areas of representation for your matter in</w:t>
      </w:r>
      <w:r>
        <w:t xml:space="preserve"> </w:t>
      </w:r>
      <w:r>
        <w:t xml:space="preserve">United States Houston</w:t>
      </w:r>
      <w:r>
        <w:t xml:space="preserve">:</w:t>
      </w:r>
    </w:p>
    <w:p>
      <w:pPr>
        <w:numPr>
          <w:ilvl w:val="0"/>
          <w:numId w:val="1001"/>
        </w:numPr>
        <w:pStyle w:val="Compact"/>
      </w:pPr>
      <w:r>
        <w:t xml:space="preserve">Full review and analysis of the commercial supply agreement dated March 2024 between your entity and the opposing party, including identification of all potential breach provisions and remedies.</w:t>
      </w:r>
    </w:p>
    <w:p>
      <w:pPr>
        <w:numPr>
          <w:ilvl w:val="0"/>
          <w:numId w:val="1001"/>
        </w:numPr>
        <w:pStyle w:val="Compact"/>
      </w:pPr>
      <w:r>
        <w:t xml:space="preserve">Preparation and filing of the initial Petition for Breach of Contract in the Harris County Civil District Court, Houston, Texas.</w:t>
      </w:r>
    </w:p>
    <w:p>
      <w:pPr>
        <w:numPr>
          <w:ilvl w:val="0"/>
          <w:numId w:val="1001"/>
        </w:numPr>
        <w:pStyle w:val="Compact"/>
      </w:pPr>
      <w:r>
        <w:t xml:space="preserve">Management of all discovery proceedings, including the drafting and service of interrogatories, requests for production of documents, and requests for admissions.</w:t>
      </w:r>
    </w:p>
    <w:p>
      <w:pPr>
        <w:numPr>
          <w:ilvl w:val="0"/>
          <w:numId w:val="1001"/>
        </w:numPr>
        <w:pStyle w:val="Compact"/>
      </w:pPr>
      <w:r>
        <w:t xml:space="preserve">Conduct of depositions of key witnesses, including corporate officers and operational managers of both parties.</w:t>
      </w:r>
    </w:p>
    <w:p>
      <w:pPr>
        <w:numPr>
          <w:ilvl w:val="0"/>
          <w:numId w:val="1001"/>
        </w:numPr>
        <w:pStyle w:val="Compact"/>
      </w:pPr>
      <w:r>
        <w:t xml:space="preserve">Preparation of all pre-trial motions, including motions for summary judgment, motions in limine, and motions to compel.</w:t>
      </w:r>
    </w:p>
    <w:p>
      <w:pPr>
        <w:numPr>
          <w:ilvl w:val="0"/>
          <w:numId w:val="1001"/>
        </w:numPr>
        <w:pStyle w:val="Compact"/>
      </w:pPr>
      <w:r>
        <w:t xml:space="preserve">Full trial representation before a judge or jury in the Harris County Civil District Court,</w:t>
      </w:r>
      <w:r>
        <w:t xml:space="preserve"> </w:t>
      </w:r>
      <w:r>
        <w:t xml:space="preserve">United States Houston</w:t>
      </w:r>
      <w:r>
        <w:t xml:space="preserve">.</w:t>
      </w:r>
    </w:p>
    <w:p>
      <w:pPr>
        <w:numPr>
          <w:ilvl w:val="0"/>
          <w:numId w:val="1001"/>
        </w:numPr>
        <w:pStyle w:val="Compact"/>
      </w:pPr>
      <w:r>
        <w:t xml:space="preserve">Post-judgment enforcement activities, including writs of execution and asset tracing, should a favorable verdict be obtained.</w:t>
      </w:r>
    </w:p>
    <w:p>
      <w:pPr>
        <w:numPr>
          <w:ilvl w:val="0"/>
          <w:numId w:val="1001"/>
        </w:numPr>
        <w:pStyle w:val="Compact"/>
      </w:pPr>
      <w:r>
        <w:t xml:space="preserve">Exploration and facilitation of alternative dispute resolution, including mediation through the Houston Mediation Center, if mutually agreed upon by both parties.</w:t>
      </w:r>
    </w:p>
    <w:bookmarkEnd w:id="22"/>
    <w:bookmarkStart w:id="23" w:name="fee-schedule-and-cost-breakdown"/>
    <w:p>
      <w:pPr>
        <w:pStyle w:val="Heading2"/>
      </w:pPr>
      <w:r>
        <w:t xml:space="preserve">Fee Schedule and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Initial Case Analysis &amp; Strategy Development</w:t>
            </w:r>
          </w:p>
        </w:tc>
        <w:tc>
          <w:tcPr/>
          <w:p>
            <w:pPr>
              <w:pStyle w:val="Compact"/>
              <w:jc w:val="left"/>
            </w:pPr>
            <w:r>
              <w:t xml:space="preserve">12</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Petition Drafting &amp; Filing (Harris County)</w:t>
            </w:r>
          </w:p>
        </w:tc>
        <w:tc>
          <w:tcPr/>
          <w:p>
            <w:pPr>
              <w:pStyle w:val="Compact"/>
              <w:jc w:val="left"/>
            </w:pPr>
            <w:r>
              <w:t xml:space="preserve">10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Discovery Management &amp; Document Review</w:t>
            </w:r>
          </w:p>
        </w:tc>
        <w:tc>
          <w:tcPr/>
          <w:p>
            <w:pPr>
              <w:pStyle w:val="Compact"/>
              <w:jc w:val="left"/>
            </w:pPr>
            <w:r>
              <w:t xml:space="preserve">35</w:t>
            </w:r>
          </w:p>
        </w:tc>
        <w:tc>
          <w:tcPr/>
          <w:p>
            <w:pPr>
              <w:pStyle w:val="Compact"/>
              <w:jc w:val="left"/>
            </w:pPr>
            <w:r>
              <w:t xml:space="preserve">$425.00</w:t>
            </w:r>
          </w:p>
        </w:tc>
        <w:tc>
          <w:tcPr/>
          <w:p>
            <w:pPr>
              <w:pStyle w:val="Compact"/>
              <w:jc w:val="left"/>
            </w:pPr>
            <w:r>
              <w:t xml:space="preserve">$14,875.00</w:t>
            </w:r>
          </w:p>
        </w:tc>
      </w:tr>
      <w:tr>
        <w:tc>
          <w:tcPr/>
          <w:p>
            <w:pPr>
              <w:pStyle w:val="Compact"/>
              <w:jc w:val="left"/>
            </w:pPr>
            <w:r>
              <w:t xml:space="preserve">Deposition Preparation &amp; Attendance</w:t>
            </w:r>
          </w:p>
        </w:tc>
        <w:tc>
          <w:tcPr/>
          <w:p>
            <w:pPr>
              <w:pStyle w:val="Compact"/>
              <w:jc w:val="left"/>
            </w:pPr>
            <w:r>
              <w:t xml:space="preserve">20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Pre-Trial Motions &amp; Briefing</w:t>
            </w:r>
          </w:p>
        </w:tc>
        <w:tc>
          <w:tcPr/>
          <w:p>
            <w:pPr>
              <w:pStyle w:val="Compact"/>
              <w:jc w:val="left"/>
            </w:pPr>
            <w:r>
              <w:t xml:space="preserve">25</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Trial Representation (estimated 5-day trial)</w:t>
            </w:r>
          </w:p>
        </w:tc>
        <w:tc>
          <w:tcPr/>
          <w:p>
            <w:pPr>
              <w:pStyle w:val="Compact"/>
              <w:jc w:val="left"/>
            </w:pPr>
            <w:r>
              <w:t xml:space="preserve">60</w:t>
            </w:r>
          </w:p>
        </w:tc>
        <w:tc>
          <w:tcPr/>
          <w:p>
            <w:pPr>
              <w:pStyle w:val="Compact"/>
              <w:jc w:val="left"/>
            </w:pPr>
            <w:r>
              <w:t xml:space="preserve">$475.00</w:t>
            </w:r>
          </w:p>
        </w:tc>
        <w:tc>
          <w:tcPr/>
          <w:p>
            <w:pPr>
              <w:pStyle w:val="Compact"/>
              <w:jc w:val="left"/>
            </w:pPr>
            <w:r>
              <w:t xml:space="preserve">$28,500.00</w:t>
            </w:r>
          </w:p>
        </w:tc>
      </w:tr>
      <w:tr>
        <w:tc>
          <w:tcPr/>
          <w:p>
            <w:pPr>
              <w:pStyle w:val="Compact"/>
              <w:jc w:val="left"/>
            </w:pPr>
            <w:r>
              <w:t xml:space="preserve">Post-Judgment Enforcement &amp; Appeals (if applicable)</w:t>
            </w:r>
          </w:p>
        </w:tc>
        <w:tc>
          <w:tcPr/>
          <w:p>
            <w:pPr>
              <w:pStyle w:val="Compact"/>
              <w:jc w:val="left"/>
            </w:pPr>
            <w:r>
              <w:t xml:space="preserve">15</w:t>
            </w:r>
          </w:p>
        </w:tc>
        <w:tc>
          <w:tcPr/>
          <w:p>
            <w:pPr>
              <w:pStyle w:val="Compact"/>
              <w:jc w:val="left"/>
            </w:pPr>
            <w:r>
              <w:t xml:space="preserve">$425.00</w:t>
            </w:r>
          </w:p>
        </w:tc>
        <w:tc>
          <w:tcPr/>
          <w:p>
            <w:pPr>
              <w:pStyle w:val="Compact"/>
              <w:jc w:val="left"/>
            </w:pPr>
            <w:r>
              <w:t xml:space="preserve">$6,375.00</w:t>
            </w:r>
          </w:p>
        </w:tc>
      </w:tr>
      <w:tr>
        <w:tc>
          <w:tcPr/>
          <w:p>
            <w:pPr>
              <w:pStyle w:val="Compact"/>
              <w:jc w:val="left"/>
            </w:pPr>
            <w:r>
              <w:t xml:space="preserve">Mediation / ADR Participation</w:t>
            </w:r>
          </w:p>
        </w:tc>
        <w:tc>
          <w:tcPr/>
          <w:p>
            <w:pPr>
              <w:pStyle w:val="Compact"/>
              <w:jc w:val="left"/>
            </w:pPr>
            <w:r>
              <w:t xml:space="preserve">8</w:t>
            </w:r>
          </w:p>
        </w:tc>
        <w:tc>
          <w:tcPr/>
          <w:p>
            <w:pPr>
              <w:pStyle w:val="Compact"/>
              <w:jc w:val="left"/>
            </w:pPr>
            <w:r>
              <w:t xml:space="preserve">$425.00</w:t>
            </w:r>
          </w:p>
        </w:tc>
        <w:tc>
          <w:tcPr/>
          <w:p>
            <w:pPr>
              <w:pStyle w:val="Compact"/>
              <w:jc w:val="left"/>
            </w:pPr>
            <w:r>
              <w:t xml:space="preserve">$3,400.00</w:t>
            </w:r>
          </w:p>
        </w:tc>
      </w:tr>
      <w:tr>
        <w:tc>
          <w:tcPr>
            <w:gridSpan w:val="3"/>
          </w:tcPr>
          <w:p>
            <w:pPr>
              <w:pStyle w:val="Compact"/>
              <w:jc w:val="left"/>
            </w:pPr>
            <w:r>
              <w:t xml:space="preserve">Total Estimated Professional Fees</w:t>
            </w:r>
          </w:p>
        </w:tc>
        <w:tc>
          <w:tcPr/>
          <w:p>
            <w:pPr>
              <w:pStyle w:val="Compact"/>
              <w:jc w:val="left"/>
            </w:pPr>
            <w:r>
              <w:t xml:space="preserve">$81,625.00</w:t>
            </w:r>
          </w:p>
        </w:tc>
      </w:tr>
    </w:tbl>
    <w:bookmarkEnd w:id="23"/>
    <w:bookmarkStart w:id="24" w:name="additional-costs-and-expenses"/>
    <w:p>
      <w:pPr>
        <w:pStyle w:val="Heading2"/>
      </w:pPr>
      <w:r>
        <w:t xml:space="preserve">Additional Costs and Expenses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Expense Item</w:t>
            </w:r>
          </w:p>
        </w:tc>
        <w:tc>
          <w:tcPr/>
          <w:p>
            <w:pPr>
              <w:pStyle w:val="Compact"/>
              <w:jc w:val="left"/>
            </w:pPr>
            <w:r>
              <w:t xml:space="preserve">Estimated Amount (USD)</w:t>
            </w:r>
          </w:p>
        </w:tc>
      </w:tr>
      <w:tr>
        <w:tc>
          <w:tcPr/>
          <w:p>
            <w:pPr>
              <w:pStyle w:val="Compact"/>
              <w:jc w:val="left"/>
            </w:pPr>
            <w:r>
              <w:t xml:space="preserve">Court Filing Fees (Harris County Civil District Court)</w:t>
            </w:r>
          </w:p>
        </w:tc>
        <w:tc>
          <w:tcPr/>
          <w:p>
            <w:pPr>
              <w:pStyle w:val="Compact"/>
              <w:jc w:val="left"/>
            </w:pPr>
            <w:r>
              <w:t xml:space="preserve">$450.00</w:t>
            </w:r>
          </w:p>
        </w:tc>
      </w:tr>
      <w:tr>
        <w:tc>
          <w:tcPr/>
          <w:p>
            <w:pPr>
              <w:pStyle w:val="Compact"/>
              <w:jc w:val="left"/>
            </w:pPr>
            <w:r>
              <w:t xml:space="preserve">Service of Process (Certified Process Server, Houston, TX)</w:t>
            </w:r>
          </w:p>
        </w:tc>
        <w:tc>
          <w:tcPr/>
          <w:p>
            <w:pPr>
              <w:pStyle w:val="Compact"/>
              <w:jc w:val="left"/>
            </w:pPr>
            <w:r>
              <w:t xml:space="preserve">$150.00</w:t>
            </w:r>
          </w:p>
        </w:tc>
      </w:tr>
      <w:tr>
        <w:tc>
          <w:tcPr/>
          <w:p>
            <w:pPr>
              <w:pStyle w:val="Compact"/>
              <w:jc w:val="left"/>
            </w:pPr>
            <w:r>
              <w:t xml:space="preserve">Deposition Transcription (estimated 4 depositions)</w:t>
            </w:r>
          </w:p>
        </w:tc>
        <w:tc>
          <w:tcPr/>
          <w:p>
            <w:pPr>
              <w:pStyle w:val="Compact"/>
              <w:jc w:val="left"/>
            </w:pPr>
            <w:r>
              <w:t xml:space="preserve">$3,200.00</w:t>
            </w:r>
          </w:p>
        </w:tc>
      </w:tr>
      <w:tr>
        <w:tc>
          <w:tcPr/>
          <w:p>
            <w:pPr>
              <w:pStyle w:val="Compact"/>
              <w:jc w:val="left"/>
            </w:pPr>
            <w:r>
              <w:t xml:space="preserve">Expert Witness Retainer &amp; Testimony (Commercial Damages Expert)</w:t>
            </w:r>
          </w:p>
        </w:tc>
        <w:tc>
          <w:tcPr/>
          <w:p>
            <w:pPr>
              <w:pStyle w:val="Compact"/>
              <w:jc w:val="left"/>
            </w:pPr>
            <w:r>
              <w:t xml:space="preserve">$8,000.00</w:t>
            </w:r>
          </w:p>
        </w:tc>
      </w:tr>
      <w:tr>
        <w:tc>
          <w:tcPr/>
          <w:p>
            <w:pPr>
              <w:pStyle w:val="Compact"/>
              <w:jc w:val="left"/>
            </w:pPr>
            <w:r>
              <w:t xml:space="preserve">Court Reporter / Stenographer (Trial Days)</w:t>
            </w:r>
          </w:p>
        </w:tc>
        <w:tc>
          <w:tcPr/>
          <w:p>
            <w:pPr>
              <w:pStyle w:val="Compact"/>
              <w:jc w:val="left"/>
            </w:pPr>
            <w:r>
              <w:t xml:space="preserve">$2,500.00</w:t>
            </w:r>
          </w:p>
        </w:tc>
      </w:tr>
      <w:tr>
        <w:tc>
          <w:tcPr/>
          <w:p>
            <w:pPr>
              <w:pStyle w:val="Compact"/>
              <w:jc w:val="left"/>
            </w:pPr>
            <w:r>
              <w:t xml:space="preserve">Document Production &amp; Filing Costs</w:t>
            </w:r>
          </w:p>
        </w:tc>
        <w:tc>
          <w:tcPr/>
          <w:p>
            <w:pPr>
              <w:pStyle w:val="Compact"/>
              <w:jc w:val="left"/>
            </w:pPr>
            <w:r>
              <w:t xml:space="preserve">$800.00</w:t>
            </w:r>
          </w:p>
        </w:tc>
      </w:tr>
      <w:tr>
        <w:tc>
          <w:tcPr/>
          <w:p>
            <w:pPr>
              <w:pStyle w:val="Compact"/>
              <w:jc w:val="left"/>
            </w:pPr>
            <w:r>
              <w:t xml:space="preserve">Travel &amp; Local Transportation (within Houston, TX)</w:t>
            </w:r>
          </w:p>
        </w:tc>
        <w:tc>
          <w:tcPr/>
          <w:p>
            <w:pPr>
              <w:pStyle w:val="Compact"/>
              <w:jc w:val="left"/>
            </w:pPr>
            <w:r>
              <w:t xml:space="preserve">$600.00</w:t>
            </w:r>
          </w:p>
        </w:tc>
      </w:tr>
      <w:tr>
        <w:tc>
          <w:tcPr/>
          <w:p>
            <w:pPr>
              <w:pStyle w:val="Compact"/>
              <w:jc w:val="left"/>
            </w:pPr>
            <w:r>
              <w:t xml:space="preserve">Mediation Facility Fee (Houston Mediation Center)</w:t>
            </w:r>
          </w:p>
        </w:tc>
        <w:tc>
          <w:tcPr/>
          <w:p>
            <w:pPr>
              <w:pStyle w:val="Compact"/>
              <w:jc w:val="left"/>
            </w:pPr>
            <w:r>
              <w:t xml:space="preserve">$1,200.00</w:t>
            </w:r>
          </w:p>
        </w:tc>
      </w:tr>
      <w:tr>
        <w:tc>
          <w:tcPr/>
          <w:p>
            <w:pPr>
              <w:pStyle w:val="Compact"/>
              <w:jc w:val="left"/>
            </w:pPr>
            <w:r>
              <w:t xml:space="preserve">Total Estimated Out-of-Pocket Expenses</w:t>
            </w:r>
          </w:p>
        </w:tc>
        <w:tc>
          <w:tcPr/>
          <w:p>
            <w:pPr>
              <w:pStyle w:val="Compact"/>
              <w:jc w:val="left"/>
            </w:pPr>
            <w:r>
              <w:t xml:space="preserve">$16,900.00</w:t>
            </w:r>
          </w:p>
        </w:tc>
      </w:tr>
    </w:tbl>
    <w:bookmarkEnd w:id="24"/>
    <w:bookmarkStart w:id="25" w:name="grand-total-estimate"/>
    <w:p>
      <w:pPr>
        <w:pStyle w:val="Heading2"/>
      </w:pPr>
      <w:r>
        <w:t xml:space="preserve">Grand Total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(USD)</w:t>
            </w:r>
          </w:p>
        </w:tc>
      </w:tr>
      <w:tr>
        <w:tc>
          <w:tcPr/>
          <w:p>
            <w:pPr>
              <w:pStyle w:val="Compact"/>
              <w:jc w:val="left"/>
            </w:pPr>
            <w:r>
              <w:t xml:space="preserve">Professional Legal Fees</w:t>
            </w:r>
          </w:p>
        </w:tc>
        <w:tc>
          <w:tcPr/>
          <w:p>
            <w:pPr>
              <w:pStyle w:val="Compact"/>
              <w:jc w:val="left"/>
            </w:pPr>
            <w:r>
              <w:t xml:space="preserve">$81,625.00</w:t>
            </w:r>
          </w:p>
        </w:tc>
      </w:tr>
      <w:tr>
        <w:tc>
          <w:tcPr/>
          <w:p>
            <w:pPr>
              <w:pStyle w:val="Compact"/>
              <w:jc w:val="left"/>
            </w:pPr>
            <w:r>
              <w:t xml:space="preserve">Out-of-Pocket Expenses</w:t>
            </w:r>
          </w:p>
        </w:tc>
        <w:tc>
          <w:tcPr/>
          <w:p>
            <w:pPr>
              <w:pStyle w:val="Compact"/>
              <w:jc w:val="left"/>
            </w:pPr>
            <w:r>
              <w:t xml:space="preserve">$16,900.00</w:t>
            </w:r>
          </w:p>
        </w:tc>
      </w:tr>
      <w:tr>
        <w:tc>
          <w:tcPr/>
          <w:p>
            <w:pPr>
              <w:pStyle w:val="Compact"/>
              <w:jc w:val="left"/>
            </w:pPr>
            <w:r>
              <w:t xml:space="preserve">Grand Total Quotation Estimate</w:t>
            </w:r>
          </w:p>
        </w:tc>
        <w:tc>
          <w:tcPr/>
          <w:p>
            <w:pPr>
              <w:pStyle w:val="Compact"/>
              <w:jc w:val="left"/>
            </w:pPr>
            <w:r>
              <w:t xml:space="preserve">$98,525.00</w:t>
            </w:r>
          </w:p>
        </w:tc>
      </w:tr>
    </w:tbl>
    <w:bookmarkEnd w:id="25"/>
    <w:bookmarkStart w:id="26"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Upon expiration, the</w:t>
      </w:r>
      <w:r>
        <w:t xml:space="preserve"> </w:t>
      </w:r>
      <w:r>
        <w:t xml:space="preserve">Lawyer</w:t>
      </w:r>
      <w:r>
        <w:t xml:space="preserve"> </w:t>
      </w:r>
      <w:r>
        <w:t xml:space="preserve">team reserves the right to revise the fee structure based on current market rates and case complexity assessments.</w:t>
      </w:r>
    </w:p>
    <w:p>
      <w:pPr>
        <w:numPr>
          <w:ilvl w:val="0"/>
          <w:numId w:val="1002"/>
        </w:numPr>
        <w:pStyle w:val="Compact"/>
      </w:pPr>
      <w:r>
        <w:t xml:space="preserve">All professional fees are billed on a monthly basis in arrears, with invoices issued on the last business day of each calendar month. A retainer in the amount of $15,000.00 is required prior to the commencement of active legal work.</w:t>
      </w:r>
    </w:p>
    <w:p>
      <w:pPr>
        <w:numPr>
          <w:ilvl w:val="0"/>
          <w:numId w:val="1002"/>
        </w:numPr>
        <w:pStyle w:val="Compact"/>
      </w:pPr>
      <w:r>
        <w:t xml:space="preserve">Out-of-pocket expenses, as itemized above, will be billed at actual cost with supporting receipts provided to the client. No markup will be applied to third-party vendor charges in</w:t>
      </w:r>
      <w:r>
        <w:t xml:space="preserve"> </w:t>
      </w:r>
      <w:r>
        <w:t xml:space="preserve">United States Houston</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guarantee of outcome. The</w:t>
      </w:r>
      <w:r>
        <w:t xml:space="preserve"> </w:t>
      </w:r>
      <w:r>
        <w:t xml:space="preserve">Lawyer</w:t>
      </w:r>
      <w:r>
        <w:t xml:space="preserve"> </w:t>
      </w:r>
      <w:r>
        <w:t xml:space="preserve">and firm make no representations or warranties regarding the final result of the litigation. All legal matters carry inherent uncertainty.</w:t>
      </w:r>
    </w:p>
    <w:p>
      <w:pPr>
        <w:numPr>
          <w:ilvl w:val="0"/>
          <w:numId w:val="1002"/>
        </w:numPr>
        <w:pStyle w:val="Compact"/>
      </w:pPr>
      <w:r>
        <w:t xml:space="preserve">The client agrees to reimburse the firm for all reasonable expenses incurred in the representation, including but not limited to those listed in this document, provided that any expense exceeding $500.00 in a single transaction requires prior written authorization from the client.</w:t>
      </w:r>
    </w:p>
    <w:p>
      <w:pPr>
        <w:numPr>
          <w:ilvl w:val="0"/>
          <w:numId w:val="1002"/>
        </w:numPr>
        <w:pStyle w:val="Compact"/>
      </w:pPr>
      <w:r>
        <w:t xml:space="preserve">Should the matter be resolved through settlement or mediation prior to trial, the</w:t>
      </w:r>
      <w:r>
        <w:t xml:space="preserve"> </w:t>
      </w:r>
      <w:r>
        <w:t xml:space="preserve">Lawyer</w:t>
      </w:r>
      <w:r>
        <w:t xml:space="preserve"> </w:t>
      </w:r>
      <w:r>
        <w:t xml:space="preserve">fees will be adjusted proportionally based on the actual hours expended, and the client will be credited for any unused retainer balance.</w:t>
      </w:r>
    </w:p>
    <w:p>
      <w:pPr>
        <w:numPr>
          <w:ilvl w:val="0"/>
          <w:numId w:val="1002"/>
        </w:numPr>
        <w:pStyle w:val="Compact"/>
      </w:pPr>
      <w:r>
        <w:t xml:space="preserve">This engagement is governed by the laws of the State of Texas and the Rules of Professional Conduct of the State Bar of Texas. Any disputes arising from this</w:t>
      </w:r>
      <w:r>
        <w:t xml:space="preserve"> </w:t>
      </w:r>
      <w:r>
        <w:t xml:space="preserve">Quotation Estimate</w:t>
      </w:r>
      <w:r>
        <w:t xml:space="preserve"> </w:t>
      </w:r>
      <w:r>
        <w:t xml:space="preserve">or the engagement itself shall be resolved in the courts of Harris County,</w:t>
      </w:r>
      <w:r>
        <w:t xml:space="preserve"> </w:t>
      </w:r>
      <w:r>
        <w:t xml:space="preserve">United States Houston</w:t>
      </w:r>
      <w:r>
        <w:t xml:space="preserve">.</w:t>
      </w:r>
    </w:p>
    <w:p>
      <w:pPr>
        <w:numPr>
          <w:ilvl w:val="0"/>
          <w:numId w:val="1002"/>
        </w:numPr>
        <w:pStyle w:val="Compact"/>
      </w:pPr>
      <w:r>
        <w:t xml:space="preserve">The firm maintains professional liability insurance in the amount of $5,000,000.00 per occurrence, as required by the Texas Disciplinary Rules of Professional Conduct.</w:t>
      </w:r>
    </w:p>
    <w:p>
      <w:pPr>
        <w:numPr>
          <w:ilvl w:val="0"/>
          <w:numId w:val="1002"/>
        </w:numPr>
        <w:pStyle w:val="Compact"/>
      </w:pPr>
      <w:r>
        <w:t xml:space="preserve">Confidentiality of all client information is maintained in strict accordance with Texas Rule of Professional Conduct 1.05 and applicable federal privacy regulations.</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agrees to the terms and conditions outlined herein, and authorizes the</w:t>
      </w:r>
      <w:r>
        <w:t xml:space="preserve"> </w:t>
      </w:r>
      <w:r>
        <w:t xml:space="preserve">Lawyer</w:t>
      </w:r>
      <w:r>
        <w:t xml:space="preserve"> </w:t>
      </w:r>
      <w:r>
        <w:t xml:space="preserve">and Hartwell, Brennan &amp; Associates, LLP to commence legal representation in the matter described above within the jurisdiction of</w:t>
      </w:r>
      <w:r>
        <w:t xml:space="preserve"> </w:t>
      </w:r>
      <w:r>
        <w:t xml:space="preserve">United States Houston</w:t>
      </w:r>
      <w:r>
        <w:t xml:space="preserve">.</w:t>
      </w:r>
    </w:p>
    <w:p>
      <w:pPr>
        <w:pStyle w:val="BodyText"/>
      </w:pPr>
      <w:r>
        <w:rPr>
          <w:bCs/>
          <w:b/>
        </w:rPr>
        <w:t xml:space="preserve">Client Signature</w:t>
      </w:r>
      <w:r>
        <w:br/>
      </w:r>
      <w:r>
        <w:t xml:space="preserve">Jonathan R. Caldwell</w:t>
      </w:r>
      <w:r>
        <w:br/>
      </w:r>
      <w:r>
        <w:t xml:space="preserve">Date: ______________________</w:t>
      </w:r>
    </w:p>
    <w:p>
      <w:pPr>
        <w:pStyle w:val="BodyText"/>
      </w:pPr>
      <w:r>
        <w:rPr>
          <w:bCs/>
          <w:b/>
        </w:rPr>
        <w:t xml:space="preserve">Attorney Signature</w:t>
      </w:r>
      <w:r>
        <w:br/>
      </w:r>
      <w:r>
        <w:t xml:space="preserve">Diane L. Hartwell, Esq.</w:t>
      </w:r>
      <w:r>
        <w:br/>
      </w:r>
      <w:r>
        <w:t xml:space="preserve">Hartwell, Brennan &amp; Associates, LLP</w:t>
      </w:r>
      <w:r>
        <w:br/>
      </w:r>
      <w:r>
        <w:t xml:space="preserve">Date: ______________________</w:t>
      </w:r>
    </w:p>
    <w:p>
      <w:pPr>
        <w:pStyle w:val="BodyText"/>
      </w:pPr>
      <w:r>
        <w:t xml:space="preserve">Hartwell, Brennan &amp; Associates, LLP — 1200 Smith Street, Suite 2400, Houston, Texas 77002, United States</w:t>
      </w:r>
      <w:r>
        <w:br/>
      </w:r>
      <w:r>
        <w:t xml:space="preserve">This Quotation Estimate is a confidential document intended solely for the named client. Unauthorized reproduction or distribution is prohibited.</w:t>
      </w:r>
      <w:r>
        <w:br/>
      </w:r>
      <w:r>
        <w:t xml:space="preserve">© 2025 Hartwell, Brennan &amp; Associates, LLP.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Houston, United States</dc:title>
  <dc:creator/>
  <dc:language>en</dc:language>
  <cp:keywords/>
  <dcterms:created xsi:type="dcterms:W3CDTF">2026-10-10T07:06:20Z</dcterms:created>
  <dcterms:modified xsi:type="dcterms:W3CDTF">2026-10-10T07:06:20Z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