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Tashkent, Uzbekistan</w:t>
      </w:r>
    </w:p>
    <w:bookmarkEnd w:id="20"/>
    <w:p>
      <w:pPr>
        <w:pStyle w:val="BodyText"/>
      </w:pPr>
      <w:r>
        <w:rPr>
          <w:bCs/>
          <w:b/>
        </w:rPr>
        <w:t xml:space="preserve">Quotation Estimate No.:</w:t>
      </w:r>
      <w:r>
        <w:t xml:space="preserve"> </w:t>
      </w:r>
      <w:r>
        <w:t xml:space="preserve">QE-TK-2025-04782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Andorov &amp; Partners Law Firm</w:t>
      </w:r>
      <w:r>
        <w:br/>
      </w:r>
      <w:r>
        <w:rPr>
          <w:bCs/>
          <w:b/>
        </w:rPr>
        <w:t xml:space="preserve">Address:</w:t>
      </w:r>
      <w:r>
        <w:t xml:space="preserve"> </w:t>
      </w:r>
      <w:r>
        <w:t xml:space="preserve">42 Amir Temur Avenue, Tashkent 100000, Uzbekistan</w:t>
      </w:r>
      <w:r>
        <w:br/>
      </w:r>
      <w:r>
        <w:rPr>
          <w:bCs/>
          <w:b/>
        </w:rPr>
        <w:t xml:space="preserve">License No.:</w:t>
      </w:r>
      <w:r>
        <w:t xml:space="preserve"> </w:t>
      </w:r>
      <w:r>
        <w:t xml:space="preserve">UZ-LAW-2019-00347</w:t>
      </w:r>
    </w:p>
    <w:bookmarkStart w:id="21" w:name="client-information"/>
    <w:p>
      <w:pPr>
        <w:pStyle w:val="Heading2"/>
      </w:pPr>
      <w:r>
        <w:t xml:space="preserve">1. Client Information</w:t>
      </w:r>
    </w:p>
    <w:p>
      <w:pPr>
        <w:pStyle w:val="FirstParagraph"/>
      </w:pPr>
      <w:r>
        <w:rPr>
          <w:bCs/>
          <w:b/>
        </w:rPr>
        <w:t xml:space="preserve">Client Name:</w:t>
      </w:r>
      <w:r>
        <w:t xml:space="preserve"> </w:t>
      </w:r>
      <w:r>
        <w:t xml:space="preserve">[Full Legal Name / Company Name]</w:t>
      </w:r>
      <w:r>
        <w:br/>
      </w:r>
      <w:r>
        <w:rPr>
          <w:bCs/>
          <w:b/>
        </w:rPr>
        <w:t xml:space="preserve">Address:</w:t>
      </w:r>
      <w:r>
        <w:t xml:space="preserve"> </w:t>
      </w:r>
      <w:r>
        <w:t xml:space="preserve">[Client Address], Tashkent, Uzbekistan</w:t>
      </w:r>
      <w:r>
        <w:br/>
      </w:r>
      <w:r>
        <w:rPr>
          <w:bCs/>
          <w:b/>
        </w:rPr>
        <w:t xml:space="preserve">Identification / Registration No.:</w:t>
      </w:r>
      <w:r>
        <w:t xml:space="preserve"> </w:t>
      </w:r>
      <w:r>
        <w:t xml:space="preserve">[Passport or State Registration Number]</w:t>
      </w:r>
      <w:r>
        <w:br/>
      </w:r>
      <w:r>
        <w:rPr>
          <w:bCs/>
          <w:b/>
        </w:rPr>
        <w:t xml:space="preserve">Contact Person:</w:t>
      </w:r>
      <w:r>
        <w:t xml:space="preserve"> </w:t>
      </w:r>
      <w:r>
        <w:t xml:space="preserve">[Name &amp; Title]</w:t>
      </w:r>
      <w:r>
        <w:br/>
      </w:r>
      <w:r>
        <w:rPr>
          <w:bCs/>
          <w:b/>
        </w:rPr>
        <w:t xml:space="preserve">Email / Phone:</w:t>
      </w:r>
      <w:r>
        <w:t xml:space="preserve"> </w:t>
      </w:r>
      <w:r>
        <w:t xml:space="preserve">[Contact Details]</w:t>
      </w:r>
    </w:p>
    <w:bookmarkEnd w:id="21"/>
    <w:bookmarkStart w:id="22" w:name="scope-of-legal-services"/>
    <w:p>
      <w:pPr>
        <w:pStyle w:val="Heading2"/>
      </w:pPr>
      <w:r>
        <w:t xml:space="preserve">2. Scope of Legal Services</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Lawyer</w:t>
      </w:r>
      <w:r>
        <w:t xml:space="preserve"> </w:t>
      </w:r>
      <w:r>
        <w:t xml:space="preserve">and the firm of Andorov &amp; Partners to provide a comprehensive and transparent breakdown of professional legal services to be rendered in</w:t>
      </w:r>
      <w:r>
        <w:t xml:space="preserve"> </w:t>
      </w:r>
      <w:r>
        <w:t xml:space="preserve">Uzbekistan Tashkent</w:t>
      </w:r>
      <w:r>
        <w:t xml:space="preserve">. The scope of engagement covers the following areas of practice as requested by the Client:</w:t>
      </w:r>
    </w:p>
    <w:p>
      <w:pPr>
        <w:numPr>
          <w:ilvl w:val="0"/>
          <w:numId w:val="1001"/>
        </w:numPr>
        <w:pStyle w:val="Compact"/>
      </w:pPr>
      <w:r>
        <w:t xml:space="preserve">Corporate and commercial legal advisory in accordance with the Civil Code of the Republic of Uzbekistan and the Law on Legal Services of Uzbekistan;</w:t>
      </w:r>
    </w:p>
    <w:p>
      <w:pPr>
        <w:numPr>
          <w:ilvl w:val="0"/>
          <w:numId w:val="1001"/>
        </w:numPr>
        <w:pStyle w:val="Compact"/>
      </w:pPr>
      <w:r>
        <w:t xml:space="preserve">Drafting, review, and negotiation of commercial contracts, partnership agreements, and joint-venture documentation;</w:t>
      </w:r>
    </w:p>
    <w:p>
      <w:pPr>
        <w:numPr>
          <w:ilvl w:val="0"/>
          <w:numId w:val="1001"/>
        </w:numPr>
        <w:pStyle w:val="Compact"/>
      </w:pPr>
      <w:r>
        <w:t xml:space="preserve">Representation before the Tashkent City Commercial Court and the Supreme Court of the Republic of Uzbekistan;</w:t>
      </w:r>
    </w:p>
    <w:p>
      <w:pPr>
        <w:numPr>
          <w:ilvl w:val="0"/>
          <w:numId w:val="1001"/>
        </w:numPr>
        <w:pStyle w:val="Compact"/>
      </w:pPr>
      <w:r>
        <w:t xml:space="preserve">Intellectual property registration and enforcement within the jurisdiction of Uzbekistan;</w:t>
      </w:r>
    </w:p>
    <w:p>
      <w:pPr>
        <w:numPr>
          <w:ilvl w:val="0"/>
          <w:numId w:val="1001"/>
        </w:numPr>
        <w:pStyle w:val="Compact"/>
      </w:pPr>
      <w:r>
        <w:t xml:space="preserve">Regulatory compliance consulting for foreign-invested enterprises operating in Tashkent;</w:t>
      </w:r>
    </w:p>
    <w:p>
      <w:pPr>
        <w:numPr>
          <w:ilvl w:val="0"/>
          <w:numId w:val="1001"/>
        </w:numPr>
        <w:pStyle w:val="Compact"/>
      </w:pPr>
      <w:r>
        <w:t xml:space="preserve">Due diligence investigations and legal opinion memoranda.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Rate / Unit</w:t>
            </w:r>
          </w:p>
        </w:tc>
        <w:tc>
          <w:tcPr/>
          <w:p>
            <w:pPr>
              <w:pStyle w:val="Compact"/>
              <w:jc w:val="left"/>
            </w:pPr>
            <w:r>
              <w:t xml:space="preserve">Quantity</w:t>
            </w:r>
          </w:p>
        </w:tc>
        <w:tc>
          <w:tcPr/>
          <w:p>
            <w:pPr>
              <w:pStyle w:val="Compact"/>
              <w:jc w:val="left"/>
            </w:pPr>
            <w:r>
              <w:t xml:space="preserve">Amount (UZS)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legal consultation and case assessment by the assigned Lawyer</w:t>
            </w:r>
          </w:p>
        </w:tc>
        <w:tc>
          <w:tcPr/>
          <w:p>
            <w:pPr>
              <w:pStyle w:val="Compact"/>
              <w:jc w:val="left"/>
            </w:pPr>
            <w:r>
              <w:t xml:space="preserve">1,200,000 UZS / hour</w:t>
            </w:r>
          </w:p>
        </w:tc>
        <w:tc>
          <w:tcPr/>
          <w:p>
            <w:pPr>
              <w:pStyle w:val="Compact"/>
              <w:jc w:val="left"/>
            </w:pPr>
            <w:r>
              <w:t xml:space="preserve">4 hours</w:t>
            </w:r>
          </w:p>
        </w:tc>
        <w:tc>
          <w:tcPr/>
          <w:p>
            <w:pPr>
              <w:pStyle w:val="Compact"/>
              <w:jc w:val="left"/>
            </w:pPr>
            <w:r>
              <w:t xml:space="preserve">4,800,000</w:t>
            </w:r>
          </w:p>
        </w:tc>
        <w:tc>
          <w:tcPr/>
          <w:p>
            <w:pPr>
              <w:pStyle w:val="Compact"/>
              <w:jc w:val="left"/>
            </w:pPr>
            <w:r>
              <w:t xml:space="preserve">Conducted at firm office, Tashkent</w:t>
            </w:r>
          </w:p>
        </w:tc>
      </w:tr>
      <w:tr>
        <w:tc>
          <w:tcPr/>
          <w:p>
            <w:pPr>
              <w:pStyle w:val="Compact"/>
              <w:jc w:val="left"/>
            </w:pPr>
            <w:r>
              <w:t xml:space="preserve">2</w:t>
            </w:r>
          </w:p>
        </w:tc>
        <w:tc>
          <w:tcPr/>
          <w:p>
            <w:pPr>
              <w:pStyle w:val="Compact"/>
              <w:jc w:val="left"/>
            </w:pPr>
            <w:r>
              <w:t xml:space="preserve">Drafting and review of commercial supply agreement (up to 50 pages)</w:t>
            </w:r>
          </w:p>
        </w:tc>
        <w:tc>
          <w:tcPr/>
          <w:p>
            <w:pPr>
              <w:pStyle w:val="Compact"/>
              <w:jc w:val="left"/>
            </w:pPr>
            <w:r>
              <w:t xml:space="preserve">3,500,000 UZS / document</w:t>
            </w:r>
          </w:p>
        </w:tc>
        <w:tc>
          <w:tcPr/>
          <w:p>
            <w:pPr>
              <w:pStyle w:val="Compact"/>
              <w:jc w:val="left"/>
            </w:pPr>
            <w:r>
              <w:t xml:space="preserve">2 documents</w:t>
            </w:r>
          </w:p>
        </w:tc>
        <w:tc>
          <w:tcPr/>
          <w:p>
            <w:pPr>
              <w:pStyle w:val="Compact"/>
              <w:jc w:val="left"/>
            </w:pPr>
            <w:r>
              <w:t xml:space="preserve">7,000,000</w:t>
            </w:r>
          </w:p>
        </w:tc>
        <w:tc>
          <w:tcPr/>
          <w:p>
            <w:pPr>
              <w:pStyle w:val="Compact"/>
              <w:jc w:val="left"/>
            </w:pPr>
            <w:r>
              <w:t xml:space="preserve">Includes two rounds of revisions</w:t>
            </w:r>
          </w:p>
        </w:tc>
      </w:tr>
      <w:tr>
        <w:tc>
          <w:tcPr/>
          <w:p>
            <w:pPr>
              <w:pStyle w:val="Compact"/>
              <w:jc w:val="left"/>
            </w:pPr>
            <w:r>
              <w:t xml:space="preserve">3</w:t>
            </w:r>
          </w:p>
        </w:tc>
        <w:tc>
          <w:tcPr/>
          <w:p>
            <w:pPr>
              <w:pStyle w:val="Compact"/>
              <w:jc w:val="left"/>
            </w:pPr>
            <w:r>
              <w:t xml:space="preserve">Court representation before Tashkent City Commercial Court</w:t>
            </w:r>
          </w:p>
        </w:tc>
        <w:tc>
          <w:tcPr/>
          <w:p>
            <w:pPr>
              <w:pStyle w:val="Compact"/>
              <w:jc w:val="left"/>
            </w:pPr>
            <w:r>
              <w:t xml:space="preserve">2,800,000 UZS / hearing day</w:t>
            </w:r>
          </w:p>
        </w:tc>
        <w:tc>
          <w:tcPr/>
          <w:p>
            <w:pPr>
              <w:pStyle w:val="Compact"/>
              <w:jc w:val="left"/>
            </w:pPr>
            <w:r>
              <w:t xml:space="preserve">5 days</w:t>
            </w:r>
          </w:p>
        </w:tc>
        <w:tc>
          <w:tcPr/>
          <w:p>
            <w:pPr>
              <w:pStyle w:val="Compact"/>
              <w:jc w:val="left"/>
            </w:pPr>
            <w:r>
              <w:t xml:space="preserve">14,000,000</w:t>
            </w:r>
          </w:p>
        </w:tc>
        <w:tc>
          <w:tcPr/>
          <w:p>
            <w:pPr>
              <w:pStyle w:val="Compact"/>
              <w:jc w:val="left"/>
            </w:pPr>
            <w:r>
              <w:t xml:space="preserve">Includes preparation and filing</w:t>
            </w:r>
          </w:p>
        </w:tc>
      </w:tr>
      <w:tr>
        <w:tc>
          <w:tcPr/>
          <w:p>
            <w:pPr>
              <w:pStyle w:val="Compact"/>
              <w:jc w:val="left"/>
            </w:pPr>
            <w:r>
              <w:t xml:space="preserve">4</w:t>
            </w:r>
          </w:p>
        </w:tc>
        <w:tc>
          <w:tcPr/>
          <w:p>
            <w:pPr>
              <w:pStyle w:val="Compact"/>
              <w:jc w:val="left"/>
            </w:pPr>
            <w:r>
              <w:t xml:space="preserve">Due diligence report on target company (Uzbekistan jurisdiction)</w:t>
            </w:r>
          </w:p>
        </w:tc>
        <w:tc>
          <w:tcPr/>
          <w:p>
            <w:pPr>
              <w:pStyle w:val="Compact"/>
              <w:jc w:val="left"/>
            </w:pPr>
            <w:r>
              <w:t xml:space="preserve">12,000,000 UZS / project</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Delivered within 20 business days</w:t>
            </w:r>
          </w:p>
        </w:tc>
      </w:tr>
      <w:tr>
        <w:tc>
          <w:tcPr/>
          <w:p>
            <w:pPr>
              <w:pStyle w:val="Compact"/>
              <w:jc w:val="left"/>
            </w:pPr>
            <w:r>
              <w:t xml:space="preserve">5</w:t>
            </w:r>
          </w:p>
        </w:tc>
        <w:tc>
          <w:tcPr/>
          <w:p>
            <w:pPr>
              <w:pStyle w:val="Compact"/>
              <w:jc w:val="left"/>
            </w:pPr>
            <w:r>
              <w:t xml:space="preserve">Intellectual property registration (trademark, national level)</w:t>
            </w:r>
          </w:p>
        </w:tc>
        <w:tc>
          <w:tcPr/>
          <w:p>
            <w:pPr>
              <w:pStyle w:val="Compact"/>
              <w:jc w:val="left"/>
            </w:pPr>
            <w:r>
              <w:t xml:space="preserve">4,500,000 UZS / filing</w:t>
            </w:r>
          </w:p>
        </w:tc>
        <w:tc>
          <w:tcPr/>
          <w:p>
            <w:pPr>
              <w:pStyle w:val="Compact"/>
              <w:jc w:val="left"/>
            </w:pPr>
            <w:r>
              <w:t xml:space="preserve">3 filings</w:t>
            </w:r>
          </w:p>
        </w:tc>
        <w:tc>
          <w:tcPr/>
          <w:p>
            <w:pPr>
              <w:pStyle w:val="Compact"/>
              <w:jc w:val="left"/>
            </w:pPr>
            <w:r>
              <w:t xml:space="preserve">13,500,000</w:t>
            </w:r>
          </w:p>
        </w:tc>
        <w:tc>
          <w:tcPr/>
          <w:p>
            <w:pPr>
              <w:pStyle w:val="Compact"/>
              <w:jc w:val="left"/>
            </w:pPr>
            <w:r>
              <w:t xml:space="preserve">Excludes state fees payable to Uzpatent</w:t>
            </w:r>
          </w:p>
        </w:tc>
      </w:tr>
      <w:tr>
        <w:tc>
          <w:tcPr/>
          <w:p>
            <w:pPr>
              <w:pStyle w:val="Compact"/>
              <w:jc w:val="left"/>
            </w:pPr>
            <w:r>
              <w:t xml:space="preserve">6</w:t>
            </w:r>
          </w:p>
        </w:tc>
        <w:tc>
          <w:tcPr/>
          <w:p>
            <w:pPr>
              <w:pStyle w:val="Compact"/>
              <w:jc w:val="left"/>
            </w:pPr>
            <w:r>
              <w:t xml:space="preserve">Regulatory compliance advisory (ongoing, monthly retainer)</w:t>
            </w:r>
          </w:p>
        </w:tc>
        <w:tc>
          <w:tcPr/>
          <w:p>
            <w:pPr>
              <w:pStyle w:val="Compact"/>
              <w:jc w:val="left"/>
            </w:pPr>
            <w:r>
              <w:t xml:space="preserve">6,000,000 UZS / month</w:t>
            </w:r>
          </w:p>
        </w:tc>
        <w:tc>
          <w:tcPr/>
          <w:p>
            <w:pPr>
              <w:pStyle w:val="Compact"/>
              <w:jc w:val="left"/>
            </w:pPr>
            <w:r>
              <w:t xml:space="preserve">6 months</w:t>
            </w:r>
          </w:p>
        </w:tc>
        <w:tc>
          <w:tcPr/>
          <w:p>
            <w:pPr>
              <w:pStyle w:val="Compact"/>
              <w:jc w:val="left"/>
            </w:pPr>
            <w:r>
              <w:t xml:space="preserve">36,000,000</w:t>
            </w:r>
          </w:p>
        </w:tc>
        <w:tc>
          <w:tcPr/>
          <w:p>
            <w:pPr>
              <w:pStyle w:val="Compact"/>
              <w:jc w:val="left"/>
            </w:pPr>
            <w:r>
              <w:t xml:space="preserve">Renewable upon mutual agreement</w:t>
            </w:r>
          </w:p>
        </w:tc>
      </w:tr>
      <w:tr>
        <w:tc>
          <w:tcPr/>
          <w:p>
            <w:pPr>
              <w:pStyle w:val="Compact"/>
              <w:jc w:val="left"/>
            </w:pPr>
            <w:r>
              <w:t xml:space="preserve">7</w:t>
            </w:r>
          </w:p>
        </w:tc>
        <w:tc>
          <w:tcPr/>
          <w:p>
            <w:pPr>
              <w:pStyle w:val="Compact"/>
              <w:jc w:val="left"/>
            </w:pPr>
            <w:r>
              <w:t xml:space="preserve">Translation and notarization of legal documents (Uzbek / Russian / English)</w:t>
            </w:r>
          </w:p>
        </w:tc>
        <w:tc>
          <w:tcPr/>
          <w:p>
            <w:pPr>
              <w:pStyle w:val="Compact"/>
              <w:jc w:val="left"/>
            </w:pPr>
            <w:r>
              <w:t xml:space="preserve">350,000 UZS / page</w:t>
            </w:r>
          </w:p>
        </w:tc>
        <w:tc>
          <w:tcPr/>
          <w:p>
            <w:pPr>
              <w:pStyle w:val="Compact"/>
              <w:jc w:val="left"/>
            </w:pPr>
            <w:r>
              <w:t xml:space="preserve">40 pages</w:t>
            </w:r>
          </w:p>
        </w:tc>
        <w:tc>
          <w:tcPr/>
          <w:p>
            <w:pPr>
              <w:pStyle w:val="Compact"/>
              <w:jc w:val="left"/>
            </w:pPr>
            <w:r>
              <w:t xml:space="preserve">14,000,000</w:t>
            </w:r>
          </w:p>
        </w:tc>
        <w:tc>
          <w:tcPr/>
          <w:p>
            <w:pPr>
              <w:pStyle w:val="Compact"/>
              <w:jc w:val="left"/>
            </w:pPr>
            <w:r>
              <w:t xml:space="preserve">Sworn translator, Tashkent notary</w:t>
            </w:r>
          </w:p>
        </w:tc>
      </w:tr>
      <w:tr>
        <w:tc>
          <w:tcPr/>
          <w:p>
            <w:pPr>
              <w:pStyle w:val="Compact"/>
              <w:jc w:val="left"/>
            </w:pPr>
            <w:r>
              <w:t xml:space="preserve">8</w:t>
            </w:r>
          </w:p>
        </w:tc>
        <w:tc>
          <w:tcPr/>
          <w:p>
            <w:pPr>
              <w:pStyle w:val="Compact"/>
              <w:jc w:val="left"/>
            </w:pPr>
            <w:r>
              <w:t xml:space="preserve">Travel and local transportation within Tashkent for court appearances</w:t>
            </w:r>
          </w:p>
        </w:tc>
        <w:tc>
          <w:tcPr/>
          <w:p>
            <w:pPr>
              <w:pStyle w:val="Compact"/>
              <w:jc w:val="left"/>
            </w:pPr>
            <w:r>
              <w:t xml:space="preserve">500,000 UZS / day</w:t>
            </w:r>
          </w:p>
        </w:tc>
        <w:tc>
          <w:tcPr/>
          <w:p>
            <w:pPr>
              <w:pStyle w:val="Compact"/>
              <w:jc w:val="left"/>
            </w:pPr>
            <w:r>
              <w:t xml:space="preserve">5 days</w:t>
            </w:r>
          </w:p>
        </w:tc>
        <w:tc>
          <w:tcPr/>
          <w:p>
            <w:pPr>
              <w:pStyle w:val="Compact"/>
              <w:jc w:val="left"/>
            </w:pPr>
            <w:r>
              <w:t xml:space="preserve">2,500,000</w:t>
            </w:r>
          </w:p>
        </w:tc>
        <w:tc>
          <w:tcPr/>
          <w:p>
            <w:pPr>
              <w:pStyle w:val="Compact"/>
              <w:jc w:val="left"/>
            </w:pPr>
            <w:r>
              <w:t xml:space="preserve">Actuals capped at quoted amount</w:t>
            </w:r>
          </w:p>
        </w:tc>
      </w:tr>
      <w:tr>
        <w:tc>
          <w:tcPr>
            <w:gridSpan w:val="4"/>
          </w:tcPr>
          <w:p>
            <w:pPr>
              <w:pStyle w:val="Compact"/>
              <w:jc w:val="right"/>
            </w:pPr>
            <w:r>
              <w:t xml:space="preserve">SUBTOTAL (UZS)</w:t>
            </w:r>
          </w:p>
        </w:tc>
        <w:tc>
          <w:tcPr/>
          <w:p>
            <w:pPr>
              <w:pStyle w:val="Compact"/>
              <w:jc w:val="left"/>
            </w:pPr>
            <w:r>
              <w:t xml:space="preserve">103,800,000</w:t>
            </w:r>
          </w:p>
        </w:tc>
        <w:tc>
          <w:tcPr/>
          <w:p>
            <w:pPr>
              <w:pStyle w:val="Compact"/>
            </w:pPr>
          </w:p>
        </w:tc>
      </w:tr>
      <w:tr>
        <w:tc>
          <w:tcPr>
            <w:gridSpan w:val="4"/>
          </w:tcPr>
          <w:p>
            <w:pPr>
              <w:pStyle w:val="Compact"/>
              <w:jc w:val="right"/>
            </w:pPr>
            <w:r>
              <w:t xml:space="preserve">VAT (12% — Republic of Uzbekistan)</w:t>
            </w:r>
          </w:p>
        </w:tc>
        <w:tc>
          <w:tcPr/>
          <w:p>
            <w:pPr>
              <w:pStyle w:val="Compact"/>
              <w:jc w:val="left"/>
            </w:pPr>
            <w:r>
              <w:t xml:space="preserve">12,456,000</w:t>
            </w:r>
          </w:p>
        </w:tc>
        <w:tc>
          <w:tcPr/>
          <w:p>
            <w:pPr>
              <w:pStyle w:val="Compact"/>
            </w:pPr>
          </w:p>
        </w:tc>
      </w:tr>
      <w:tr>
        <w:tc>
          <w:tcPr>
            <w:gridSpan w:val="4"/>
          </w:tcPr>
          <w:p>
            <w:pPr>
              <w:pStyle w:val="Compact"/>
              <w:jc w:val="right"/>
            </w:pPr>
            <w:r>
              <w:t xml:space="preserve">TOTAL AMOUNT DUE (UZS)</w:t>
            </w:r>
          </w:p>
        </w:tc>
        <w:tc>
          <w:tcPr/>
          <w:p>
            <w:pPr>
              <w:pStyle w:val="Compact"/>
              <w:jc w:val="left"/>
            </w:pPr>
            <w:r>
              <w:t xml:space="preserve">116,256,000</w:t>
            </w:r>
          </w:p>
        </w:tc>
        <w:tc>
          <w:tcPr/>
          <w:p>
            <w:pPr>
              <w:pStyle w:val="Compact"/>
            </w:pPr>
          </w:p>
        </w:tc>
      </w:tr>
      <w:tr>
        <w:tc>
          <w:tcPr>
            <w:gridSpan w:val="4"/>
          </w:tcPr>
          <w:p>
            <w:pPr>
              <w:pStyle w:val="Compact"/>
              <w:jc w:val="right"/>
            </w:pPr>
            <w:r>
              <w:t xml:space="preserve">TOTAL AMOUNT DUE (USD, approximate)</w:t>
            </w:r>
          </w:p>
        </w:tc>
        <w:tc>
          <w:tcPr/>
          <w:p>
            <w:pPr>
              <w:pStyle w:val="Compact"/>
              <w:jc w:val="left"/>
            </w:pPr>
            <w:r>
              <w:t xml:space="preserve">~93,000 USD</w:t>
            </w:r>
          </w:p>
        </w:tc>
        <w:tc>
          <w:tcPr/>
          <w:p>
            <w:pPr>
              <w:pStyle w:val="Compact"/>
              <w:jc w:val="left"/>
            </w:pPr>
            <w:r>
              <w:t xml:space="preserve">Rate: 1,250 UZS/USD</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shall be settled in accordance with the following schedule, all payments to be made in Uzbekistan Som (UZS) via bank transfer to the firm's designated account in Tashkent:</w:t>
      </w:r>
    </w:p>
    <w:p>
      <w:pPr>
        <w:numPr>
          <w:ilvl w:val="0"/>
          <w:numId w:val="1002"/>
        </w:numPr>
        <w:pStyle w:val="Compact"/>
      </w:pPr>
      <w:r>
        <w:rPr>
          <w:bCs/>
          <w:b/>
        </w:rPr>
        <w:t xml:space="preserve">30% advance payment</w:t>
      </w:r>
      <w:r>
        <w:t xml:space="preserve"> </w:t>
      </w:r>
      <w:r>
        <w:t xml:space="preserve">(UZS 34,876,800) due within 5 business days of acceptance of this Quotation Estimate;</w:t>
      </w:r>
    </w:p>
    <w:p>
      <w:pPr>
        <w:numPr>
          <w:ilvl w:val="0"/>
          <w:numId w:val="1002"/>
        </w:numPr>
        <w:pStyle w:val="Compact"/>
      </w:pPr>
      <w:r>
        <w:rPr>
          <w:bCs/>
          <w:b/>
        </w:rPr>
        <w:t xml:space="preserve">40% interim payment</w:t>
      </w:r>
      <w:r>
        <w:t xml:space="preserve"> </w:t>
      </w:r>
      <w:r>
        <w:t xml:space="preserve">(UZS 46,502,400) due upon completion of the due diligence report and court representation phase;</w:t>
      </w:r>
    </w:p>
    <w:p>
      <w:pPr>
        <w:numPr>
          <w:ilvl w:val="0"/>
          <w:numId w:val="1002"/>
        </w:numPr>
        <w:pStyle w:val="Compact"/>
      </w:pPr>
      <w:r>
        <w:rPr>
          <w:bCs/>
          <w:b/>
        </w:rPr>
        <w:t xml:space="preserve">30% final payment</w:t>
      </w:r>
      <w:r>
        <w:t xml:space="preserve"> </w:t>
      </w:r>
      <w:r>
        <w:t xml:space="preserve">(UZS 34,876,800) due within 10 business days of delivery of all remaining deliverables and the final legal opinion.</w:t>
      </w:r>
    </w:p>
    <w:p>
      <w:pPr>
        <w:pStyle w:val="FirstParagraph"/>
      </w:pPr>
      <w:r>
        <w:t xml:space="preserve">All amounts are exclusive of third-party state fees, court filing fees, and notary charges, which shall be reimbursed at actual cost upon presentation of official receipts issued by the relevant Uzbekistan authorities in Tashkent.</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Upon expiry, the Lawyer reserves the right to revise fees to reflect current market rates in Uzbekistan Tashkent.</w:t>
      </w:r>
    </w:p>
    <w:p>
      <w:pPr>
        <w:numPr>
          <w:ilvl w:val="0"/>
          <w:numId w:val="1003"/>
        </w:numPr>
        <w:pStyle w:val="Compact"/>
      </w:pPr>
      <w:r>
        <w:t xml:space="preserve">The assigned Lawyer and supporting legal team shall maintain strict confidentiality in accordance with the Law of the Republic of Uzbekistan "On Legal Services" and the firm's internal ethical code.</w:t>
      </w:r>
    </w:p>
    <w:p>
      <w:pPr>
        <w:numPr>
          <w:ilvl w:val="0"/>
          <w:numId w:val="1003"/>
        </w:numPr>
        <w:pStyle w:val="Compact"/>
      </w:pPr>
      <w:r>
        <w:t xml:space="preserve">All services shall be performed in compliance with the legislation of the Republic of Uzbekistan, including but not limited to the Civil Code, the Commercial Code, and applicable regulations of the Tashkent City Executive Committee.</w:t>
      </w:r>
    </w:p>
    <w:p>
      <w:pPr>
        <w:numPr>
          <w:ilvl w:val="0"/>
          <w:numId w:val="1003"/>
        </w:numPr>
        <w:pStyle w:val="Compact"/>
      </w:pPr>
      <w:r>
        <w:t xml:space="preserve">The Client agrees to provide all necessary documentation, access, and cooperation in a timely manner. Delays attributable to the Client may result in additional billing at the hourly rate specified in this Quotation Estimate.</w:t>
      </w:r>
    </w:p>
    <w:p>
      <w:pPr>
        <w:numPr>
          <w:ilvl w:val="0"/>
          <w:numId w:val="1003"/>
        </w:numPr>
        <w:pStyle w:val="Compact"/>
      </w:pPr>
      <w:r>
        <w:t xml:space="preserve">Any dispute arising from this engagement shall be resolved through the Tashkent City Arbitration Court in accordance with the procedural rules of Uzbekistan.</w:t>
      </w:r>
    </w:p>
    <w:p>
      <w:pPr>
        <w:numPr>
          <w:ilvl w:val="0"/>
          <w:numId w:val="1003"/>
        </w:numPr>
        <w:pStyle w:val="Compact"/>
      </w:pPr>
      <w:r>
        <w:t xml:space="preserve">This Quotation Estimate does not constitute a binding contract until countersigned by both parties and a formal Legal Services Agreement is executed.</w:t>
      </w:r>
    </w:p>
    <w:p>
      <w:pPr>
        <w:numPr>
          <w:ilvl w:val="0"/>
          <w:numId w:val="1003"/>
        </w:numPr>
        <w:pStyle w:val="Compact"/>
      </w:pPr>
      <w:r>
        <w:t xml:space="preserve">The Lawyer shall not be liable for adverse court outcomes; fees cover professional effort, expertise, and time dedicated to the matter, not the result of judicial proceedings.</w:t>
      </w:r>
    </w:p>
    <w:p>
      <w:pPr>
        <w:numPr>
          <w:ilvl w:val="0"/>
          <w:numId w:val="1003"/>
        </w:numPr>
        <w:pStyle w:val="Compact"/>
      </w:pPr>
      <w:r>
        <w:t xml:space="preserve">All work products, drafts, and legal opinions remain the intellectual property of the firm until full payment is received.</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the scope, fees, and terms outlined herein, and authorizes the Lawyer and Andorov &amp; Partners to commence the described legal services in Uzbekistan Tashkent.</w:t>
      </w:r>
    </w:p>
    <w:p>
      <w:pPr>
        <w:pStyle w:val="BodyText"/>
      </w:pPr>
      <w:r>
        <w:rPr>
          <w:bCs/>
          <w:b/>
        </w:rPr>
        <w:t xml:space="preserve">For the Client</w:t>
      </w:r>
      <w:r>
        <w:br/>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For the Lawyer / Firm</w:t>
      </w:r>
      <w:r>
        <w:br/>
      </w:r>
      <w:r>
        <w:br/>
      </w:r>
      <w:r>
        <w:t xml:space="preserve">Name: Andorov, R. S.</w:t>
      </w:r>
      <w:r>
        <w:br/>
      </w:r>
      <w:r>
        <w:t xml:space="preserve">Title: Senior Partner, Attorney at Law</w:t>
      </w:r>
      <w:r>
        <w:br/>
      </w:r>
      <w:r>
        <w:t xml:space="preserve">Signature: _______________________</w:t>
      </w:r>
      <w:r>
        <w:br/>
      </w:r>
      <w:r>
        <w:t xml:space="preserve">Date: ___________________________</w:t>
      </w:r>
    </w:p>
    <w:p>
      <w:pPr>
        <w:pStyle w:val="BodyText"/>
      </w:pPr>
      <w:r>
        <w:t xml:space="preserve">Andorov &amp; Partners Law Firm — 42 Amir Temur Avenue, Tashkent 100000, Republic of Uzbekistan</w:t>
      </w:r>
      <w:r>
        <w:br/>
      </w:r>
      <w:r>
        <w:t xml:space="preserve">Tel: +998 (71) 200-00-00  |  Email: info@andorovpartners.uz  |  Reg. No. UZ-LAW-2019-00347</w:t>
      </w:r>
      <w:r>
        <w:br/>
      </w:r>
      <w:r>
        <w:t xml:space="preserve">This Quotation Estimate is a confidential document intended solely for the named Client. Unauthorized distribution is prohibited under Uzbekistan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Tashkent, Uzbekistan</dc:title>
  <dc:creator/>
  <dc:language>en</dc:language>
  <cp:keywords/>
  <dcterms:created xsi:type="dcterms:W3CDTF">2026-10-10T07:35:32Z</dcterms:created>
  <dcterms:modified xsi:type="dcterms:W3CDTF">2026-10-10T07:35:32Z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