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Legal Services — Lawyer Consultation &amp; Representation</w:t>
      </w:r>
    </w:p>
    <w:p>
      <w:pPr>
        <w:pStyle w:val="BodyText"/>
      </w:pPr>
      <w:r>
        <w:t xml:space="preserve">Serving Clients in Venezuela Caracas and Surrounding Jurisdictions</w:t>
      </w:r>
    </w:p>
    <w:bookmarkEnd w:id="20"/>
    <w:p>
      <w:pPr>
        <w:pStyle w:val="BodyText"/>
      </w:pPr>
      <w:r>
        <w:t xml:space="preserve">Bolívar &amp; Asociados Abogados, C.A.</w:t>
      </w:r>
    </w:p>
    <w:p>
      <w:pPr>
        <w:pStyle w:val="BodyText"/>
      </w:pPr>
      <w:r>
        <w:t xml:space="preserve">Av. Francisco de Miranda, Torre Empresarial, Piso 14</w:t>
      </w:r>
      <w:r>
        <w:br/>
      </w:r>
      <w:r>
        <w:t xml:space="preserve">Chacao, Venezuela Caracas 1060</w:t>
      </w:r>
      <w:r>
        <w:br/>
      </w:r>
      <w:r>
        <w:t xml:space="preserve">Tel: +58 (212) 555-0147 | Fax: +58 (212) 555-0148</w:t>
      </w:r>
      <w:r>
        <w:br/>
      </w:r>
      <w:r>
        <w:t xml:space="preserve">Email: legal@bolivar-asociados.com.ve</w:t>
      </w:r>
      <w:r>
        <w:br/>
      </w:r>
      <w:r>
        <w:t xml:space="preserve">RIF: J-30487621-5</w:t>
      </w:r>
    </w:p>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Lic. María Elena Rodríguez</w:t>
      </w:r>
      <w:r>
        <w:br/>
      </w:r>
      <w:r>
        <w:t xml:space="preserve">Senior Partner &amp; Lead Lawyer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Señor/a [CLIENT FULL NAME]</w:t>
            </w:r>
          </w:p>
        </w:tc>
      </w:tr>
      <w:tr>
        <w:tc>
          <w:tcPr/>
          <w:p>
            <w:pPr>
              <w:pStyle w:val="Compact"/>
              <w:jc w:val="left"/>
            </w:pPr>
            <w:r>
              <w:rPr>
                <w:bCs/>
                <w:b/>
              </w:rPr>
              <w:t xml:space="preserve">Identification (C.I. / RIF):</w:t>
            </w:r>
          </w:p>
        </w:tc>
        <w:tc>
          <w:tcPr/>
          <w:p>
            <w:pPr>
              <w:pStyle w:val="Compact"/>
              <w:jc w:val="left"/>
            </w:pPr>
            <w:r>
              <w:t xml:space="preserve">V-12.345.678</w:t>
            </w:r>
          </w:p>
        </w:tc>
      </w:tr>
      <w:tr>
        <w:tc>
          <w:tcPr/>
          <w:p>
            <w:pPr>
              <w:pStyle w:val="Compact"/>
              <w:jc w:val="left"/>
            </w:pPr>
            <w:r>
              <w:rPr>
                <w:bCs/>
                <w:b/>
              </w:rPr>
              <w:t xml:space="preserve">Address:</w:t>
            </w:r>
          </w:p>
        </w:tc>
        <w:tc>
          <w:tcPr/>
          <w:p>
            <w:pPr>
              <w:pStyle w:val="Compact"/>
              <w:jc w:val="left"/>
            </w:pPr>
            <w:r>
              <w:t xml:space="preserve">Calle Principal, Edificio Los Robles, Piso 5, Apt. 5B, Venezuela Caracas, Distrito Capital</w:t>
            </w:r>
          </w:p>
        </w:tc>
      </w:tr>
      <w:tr>
        <w:tc>
          <w:tcPr/>
          <w:p>
            <w:pPr>
              <w:pStyle w:val="Compact"/>
              <w:jc w:val="left"/>
            </w:pPr>
            <w:r>
              <w:rPr>
                <w:bCs/>
                <w:b/>
              </w:rPr>
              <w:t xml:space="preserve">Contact:</w:t>
            </w:r>
          </w:p>
        </w:tc>
        <w:tc>
          <w:tcPr/>
          <w:p>
            <w:pPr>
              <w:pStyle w:val="Compact"/>
              <w:jc w:val="left"/>
            </w:pPr>
            <w:r>
              <w:t xml:space="preserve">+58 (412) 555-8890 | client@email.com</w:t>
            </w:r>
          </w:p>
        </w:tc>
      </w:tr>
      <w:tr>
        <w:tc>
          <w:tcPr/>
          <w:p>
            <w:pPr>
              <w:pStyle w:val="Compact"/>
              <w:jc w:val="left"/>
            </w:pPr>
            <w:r>
              <w:rPr>
                <w:bCs/>
                <w:b/>
              </w:rPr>
              <w:t xml:space="preserve">Matter Type:</w:t>
            </w:r>
          </w:p>
        </w:tc>
        <w:tc>
          <w:tcPr/>
          <w:p>
            <w:pPr>
              <w:pStyle w:val="Compact"/>
              <w:jc w:val="left"/>
            </w:pPr>
            <w:r>
              <w:t xml:space="preserve">Corporate Legal Representation &amp; Contractual Dispute Resolution</w:t>
            </w:r>
          </w:p>
        </w:tc>
      </w:tr>
    </w:tbl>
    <w:p>
      <w:pPr>
        <w:pStyle w:val="BodyText"/>
      </w:pPr>
      <w:r>
        <w:t xml:space="preserve">Scope of Services — Lawyer Engagement</w:t>
      </w:r>
    </w:p>
    <w:p>
      <w:pPr>
        <w:pStyle w:val="BodyText"/>
      </w:pPr>
      <w:r>
        <w:t xml:space="preserve">This Quotation Estimate is issued by Bolívar &amp; Asociados Abogados, C.A., a duly registered law firm operating in Venezuela Caracas, to provide a comprehensive breakdown of professional fees for the engagement of our Lawyer team. The services outlined below encompass full-spectrum legal representation, advisory consultation, and procedural management in accordance with the Venezuelan legal framework, including but not limited to the</w:t>
      </w:r>
      <w:r>
        <w:t xml:space="preserve"> </w:t>
      </w:r>
      <w:r>
        <w:rPr>
          <w:iCs/>
          <w:i/>
        </w:rPr>
        <w:t xml:space="preserve">Código de Procedimiento Civil</w:t>
      </w:r>
      <w:r>
        <w:t xml:space="preserve">, the</w:t>
      </w:r>
      <w:r>
        <w:t xml:space="preserve"> </w:t>
      </w:r>
      <w:r>
        <w:rPr>
          <w:iCs/>
          <w:i/>
        </w:rPr>
        <w:t xml:space="preserve">Ley de Sociedades Mercantiles</w:t>
      </w:r>
      <w:r>
        <w:t xml:space="preserve">, and applicable regulations of the Tribunal Supremo de Justicia located in Venezuela Caracas.</w:t>
      </w:r>
    </w:p>
    <w:p>
      <w:pPr>
        <w:pStyle w:val="BodyText"/>
      </w:pPr>
      <w:r>
        <w:t xml:space="preserve">The Lawyer assigned to this matter will serve as the primary point of contact and will coordinate with a team of specialized associates to ensure thorough and timely legal representation for the Client throughout the duration of the engagement.</w:t>
      </w:r>
    </w:p>
    <w:p>
      <w:pPr>
        <w:pStyle w:val="BodyText"/>
      </w:pPr>
      <w:r>
        <w:t xml:space="preserve">Itemized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Legal Service</w:t>
            </w:r>
          </w:p>
        </w:tc>
        <w:tc>
          <w:tcPr/>
          <w:p>
            <w:pPr>
              <w:pStyle w:val="Compact"/>
              <w:jc w:val="left"/>
            </w:pPr>
            <w:r>
              <w:t xml:space="preserve">Rate / Basis</w:t>
            </w:r>
          </w:p>
        </w:tc>
        <w:tc>
          <w:tcPr/>
          <w:p>
            <w:pPr>
              <w:pStyle w:val="Compact"/>
              <w:jc w:val="left"/>
            </w:pPr>
            <w:r>
              <w:t xml:space="preserve">Quantity / 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Legal Consultation &amp; Case Assessment by Lead Lawyer in Venezuela Caracas</w:t>
            </w:r>
          </w:p>
        </w:tc>
        <w:tc>
          <w:tcPr/>
          <w:p>
            <w:pPr>
              <w:pStyle w:val="Compact"/>
              <w:jc w:val="left"/>
            </w:pPr>
            <w:r>
              <w:t xml:space="preserve">Fixed Fee</w:t>
            </w:r>
          </w:p>
        </w:tc>
        <w:tc>
          <w:tcPr/>
          <w:p>
            <w:pPr>
              <w:pStyle w:val="Compact"/>
              <w:jc w:val="left"/>
            </w:pPr>
            <w:r>
              <w:t xml:space="preserve">1 session (3 hrs)</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Comprehensive Legal Research &amp; Written Opinion on Contractual Dispute</w:t>
            </w:r>
          </w:p>
        </w:tc>
        <w:tc>
          <w:tcPr/>
          <w:p>
            <w:pPr>
              <w:pStyle w:val="Compact"/>
              <w:jc w:val="left"/>
            </w:pPr>
            <w:r>
              <w:t xml:space="preserve">Fixed Fee</w:t>
            </w:r>
          </w:p>
        </w:tc>
        <w:tc>
          <w:tcPr/>
          <w:p>
            <w:pPr>
              <w:pStyle w:val="Compact"/>
              <w:jc w:val="left"/>
            </w:pPr>
            <w:r>
              <w:t xml:space="preserve">1 deliverable</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Drafting and Filing of Formal Legal Demands before the Tribunal de Primera Instancia, Venezuela Caracas</w:t>
            </w:r>
          </w:p>
        </w:tc>
        <w:tc>
          <w:tcPr/>
          <w:p>
            <w:pPr>
              <w:pStyle w:val="Compact"/>
              <w:jc w:val="left"/>
            </w:pPr>
            <w:r>
              <w:t xml:space="preserve">Fixed Fee</w:t>
            </w:r>
          </w:p>
        </w:tc>
        <w:tc>
          <w:tcPr/>
          <w:p>
            <w:pPr>
              <w:pStyle w:val="Compact"/>
              <w:jc w:val="left"/>
            </w:pPr>
            <w:r>
              <w:t xml:space="preserve">1 filing</w:t>
            </w:r>
          </w:p>
        </w:tc>
        <w:tc>
          <w:tcPr/>
          <w:p>
            <w:pPr>
              <w:pStyle w:val="Compact"/>
              <w:jc w:val="left"/>
            </w:pPr>
            <w:r>
              <w:t xml:space="preserve">$ 2,800.00</w:t>
            </w:r>
          </w:p>
        </w:tc>
      </w:tr>
      <w:tr>
        <w:tc>
          <w:tcPr/>
          <w:p>
            <w:pPr>
              <w:pStyle w:val="Compact"/>
              <w:jc w:val="left"/>
            </w:pPr>
            <w:r>
              <w:t xml:space="preserve">4</w:t>
            </w:r>
          </w:p>
        </w:tc>
        <w:tc>
          <w:tcPr/>
          <w:p>
            <w:pPr>
              <w:pStyle w:val="Compact"/>
              <w:jc w:val="left"/>
            </w:pPr>
            <w:r>
              <w:t xml:space="preserve">Representation at Court Hearings &amp; Oral Arguments (per hearing)</w:t>
            </w:r>
          </w:p>
        </w:tc>
        <w:tc>
          <w:tcPr/>
          <w:p>
            <w:pPr>
              <w:pStyle w:val="Compact"/>
              <w:jc w:val="left"/>
            </w:pPr>
            <w:r>
              <w:t xml:space="preserve">Per Occurrence</w:t>
            </w:r>
          </w:p>
        </w:tc>
        <w:tc>
          <w:tcPr/>
          <w:p>
            <w:pPr>
              <w:pStyle w:val="Compact"/>
              <w:jc w:val="left"/>
            </w:pPr>
            <w:r>
              <w:t xml:space="preserve">4 hearings (est.)</w:t>
            </w:r>
          </w:p>
        </w:tc>
        <w:tc>
          <w:tcPr/>
          <w:p>
            <w:pPr>
              <w:pStyle w:val="Compact"/>
              <w:jc w:val="left"/>
            </w:pPr>
            <w:r>
              <w:t xml:space="preserve">$ 3,600.00</w:t>
            </w:r>
          </w:p>
        </w:tc>
      </w:tr>
      <w:tr>
        <w:tc>
          <w:tcPr/>
          <w:p>
            <w:pPr>
              <w:pStyle w:val="Compact"/>
              <w:jc w:val="left"/>
            </w:pPr>
            <w:r>
              <w:t xml:space="preserve">5</w:t>
            </w:r>
          </w:p>
        </w:tc>
        <w:tc>
          <w:tcPr/>
          <w:p>
            <w:pPr>
              <w:pStyle w:val="Compact"/>
              <w:jc w:val="left"/>
            </w:pPr>
            <w:r>
              <w:t xml:space="preserve">Ongoing Legal Advisory &amp; Strategic Consultation (hourly basis)</w:t>
            </w:r>
          </w:p>
        </w:tc>
        <w:tc>
          <w:tcPr/>
          <w:p>
            <w:pPr>
              <w:pStyle w:val="Compact"/>
              <w:jc w:val="left"/>
            </w:pPr>
            <w:r>
              <w:t xml:space="preserve">$ 150.00 / hour</w:t>
            </w:r>
          </w:p>
        </w:tc>
        <w:tc>
          <w:tcPr/>
          <w:p>
            <w:pPr>
              <w:pStyle w:val="Compact"/>
              <w:jc w:val="left"/>
            </w:pPr>
            <w:r>
              <w:t xml:space="preserve">20 hours (est.)</w:t>
            </w:r>
          </w:p>
        </w:tc>
        <w:tc>
          <w:tcPr/>
          <w:p>
            <w:pPr>
              <w:pStyle w:val="Compact"/>
              <w:jc w:val="left"/>
            </w:pPr>
            <w:r>
              <w:t xml:space="preserve">$ 3,000.00</w:t>
            </w:r>
          </w:p>
        </w:tc>
      </w:tr>
      <w:tr>
        <w:tc>
          <w:tcPr/>
          <w:p>
            <w:pPr>
              <w:pStyle w:val="Compact"/>
              <w:jc w:val="left"/>
            </w:pPr>
            <w:r>
              <w:t xml:space="preserve">6</w:t>
            </w:r>
          </w:p>
        </w:tc>
        <w:tc>
          <w:tcPr/>
          <w:p>
            <w:pPr>
              <w:pStyle w:val="Compact"/>
              <w:jc w:val="left"/>
            </w:pPr>
            <w:r>
              <w:t xml:space="preserve">Preparation of Settlement Negotiation Documents &amp; Mediation Support</w:t>
            </w:r>
          </w:p>
        </w:tc>
        <w:tc>
          <w:tcPr/>
          <w:p>
            <w:pPr>
              <w:pStyle w:val="Compact"/>
              <w:jc w:val="left"/>
            </w:pPr>
            <w:r>
              <w:t xml:space="preserve">Fixed Fee</w:t>
            </w:r>
          </w:p>
        </w:tc>
        <w:tc>
          <w:tcPr/>
          <w:p>
            <w:pPr>
              <w:pStyle w:val="Compact"/>
              <w:jc w:val="left"/>
            </w:pPr>
            <w:r>
              <w:t xml:space="preserve">1 engagement</w:t>
            </w:r>
          </w:p>
        </w:tc>
        <w:tc>
          <w:tcPr/>
          <w:p>
            <w:pPr>
              <w:pStyle w:val="Compact"/>
              <w:jc w:val="left"/>
            </w:pPr>
            <w:r>
              <w:t xml:space="preserve">$ 1,500.00</w:t>
            </w:r>
          </w:p>
        </w:tc>
      </w:tr>
      <w:tr>
        <w:tc>
          <w:tcPr/>
          <w:p>
            <w:pPr>
              <w:pStyle w:val="Compact"/>
              <w:jc w:val="left"/>
            </w:pPr>
            <w:r>
              <w:t xml:space="preserve">7</w:t>
            </w:r>
          </w:p>
        </w:tc>
        <w:tc>
          <w:tcPr/>
          <w:p>
            <w:pPr>
              <w:pStyle w:val="Compact"/>
              <w:jc w:val="left"/>
            </w:pPr>
            <w:r>
              <w:t xml:space="preserve">Appeal Filing &amp; Representation before Tribunal de Segunda Instancia, Venezuela Caracas</w:t>
            </w:r>
          </w:p>
        </w:tc>
        <w:tc>
          <w:tcPr/>
          <w:p>
            <w:pPr>
              <w:pStyle w:val="Compact"/>
              <w:jc w:val="left"/>
            </w:pPr>
            <w:r>
              <w:t xml:space="preserve">Fixed Fee</w:t>
            </w:r>
          </w:p>
        </w:tc>
        <w:tc>
          <w:tcPr/>
          <w:p>
            <w:pPr>
              <w:pStyle w:val="Compact"/>
              <w:jc w:val="left"/>
            </w:pPr>
            <w:r>
              <w:t xml:space="preserve">1 filing (contingent)</w:t>
            </w:r>
          </w:p>
        </w:tc>
        <w:tc>
          <w:tcPr/>
          <w:p>
            <w:pPr>
              <w:pStyle w:val="Compact"/>
              <w:jc w:val="left"/>
            </w:pPr>
            <w:r>
              <w:t xml:space="preserve">$ 2,200.00</w:t>
            </w:r>
          </w:p>
        </w:tc>
      </w:tr>
      <w:tr>
        <w:tc>
          <w:tcPr/>
          <w:p>
            <w:pPr>
              <w:pStyle w:val="Compact"/>
              <w:jc w:val="left"/>
            </w:pPr>
            <w:r>
              <w:t xml:space="preserve">8</w:t>
            </w:r>
          </w:p>
        </w:tc>
        <w:tc>
          <w:tcPr/>
          <w:p>
            <w:pPr>
              <w:pStyle w:val="Compact"/>
              <w:jc w:val="left"/>
            </w:pPr>
            <w:r>
              <w:t xml:space="preserve">Court Filing Fees, Notary Costs, and Administrative Expenses (reimbursable)</w:t>
            </w:r>
          </w:p>
        </w:tc>
        <w:tc>
          <w:tcPr/>
          <w:p>
            <w:pPr>
              <w:pStyle w:val="Compact"/>
              <w:jc w:val="left"/>
            </w:pPr>
            <w:r>
              <w:t xml:space="preserve">Actual Cost</w:t>
            </w:r>
          </w:p>
        </w:tc>
        <w:tc>
          <w:tcPr/>
          <w:p>
            <w:pPr>
              <w:pStyle w:val="Compact"/>
              <w:jc w:val="left"/>
            </w:pPr>
            <w:r>
              <w:t xml:space="preserve">Estimated</w:t>
            </w:r>
          </w:p>
        </w:tc>
        <w:tc>
          <w:tcPr/>
          <w:p>
            <w:pPr>
              <w:pStyle w:val="Compact"/>
              <w:jc w:val="left"/>
            </w:pPr>
            <w:r>
              <w:t xml:space="preserve">$ 850.00</w:t>
            </w:r>
          </w:p>
        </w:tc>
      </w:tr>
      <w:tr>
        <w:tc>
          <w:tcPr>
            <w:gridSpan w:val="4"/>
          </w:tcPr>
          <w:p>
            <w:pPr>
              <w:pStyle w:val="Compact"/>
              <w:jc w:val="right"/>
            </w:pPr>
            <w:r>
              <w:t xml:space="preserve">TOTAL ESTIMATED FEE (Quotation Estimate)</w:t>
            </w:r>
          </w:p>
        </w:tc>
        <w:tc>
          <w:tcPr/>
          <w:p>
            <w:pPr>
              <w:pStyle w:val="Compact"/>
              <w:jc w:val="left"/>
            </w:pPr>
            <w:r>
              <w:t xml:space="preserve">$ 15,600.00</w:t>
            </w:r>
          </w:p>
        </w:tc>
      </w:tr>
    </w:tbl>
    <w:p>
      <w:pPr>
        <w:pStyle w:val="BodyText"/>
      </w:pPr>
      <w:r>
        <w:rPr>
          <w:bCs/>
          <w:b/>
        </w:rPr>
        <w:t xml:space="preserve">Note:</w:t>
      </w:r>
      <w:r>
        <w:t xml:space="preserve"> </w:t>
      </w:r>
      <w:r>
        <w:t xml:space="preserve">This Quotation Estimate is provided in United States Dollars (USD) for convenience. Payment may be made in USD, EUR, or Venezuelan Bolívares Fuertes (Bs.F.) at the exchange rate published by the Banco Central de Venezuela on the date of payment. All amounts are exclusive of applicable Value Added Tax (IVA) at 16% as mandated by Venezuelan tax law.</w:t>
      </w:r>
    </w:p>
    <w:p>
      <w:pPr>
        <w:pStyle w:val="BodyText"/>
      </w:pPr>
      <w:r>
        <w:t xml:space="preserve">Payment Terms</w:t>
      </w:r>
    </w:p>
    <w:p>
      <w:pPr>
        <w:numPr>
          <w:ilvl w:val="0"/>
          <w:numId w:val="1001"/>
        </w:numPr>
        <w:pStyle w:val="Compact"/>
      </w:pPr>
      <w:r>
        <w:rPr>
          <w:bCs/>
          <w:b/>
        </w:rPr>
        <w:t xml:space="preserve">Initial Retainer:</w:t>
      </w:r>
      <w:r>
        <w:t xml:space="preserve"> </w:t>
      </w:r>
      <w:r>
        <w:t xml:space="preserve">40% of the total Quotation Estimate amount ($6,240.00) due upon execution of the Retainer Agreement, prior to the commencement of any legal work by the Lawyer.</w:t>
      </w:r>
    </w:p>
    <w:p>
      <w:pPr>
        <w:numPr>
          <w:ilvl w:val="0"/>
          <w:numId w:val="1001"/>
        </w:numPr>
        <w:pStyle w:val="Compact"/>
      </w:pPr>
      <w:r>
        <w:rPr>
          <w:bCs/>
          <w:b/>
        </w:rPr>
        <w:t xml:space="preserve">Progress Payment:</w:t>
      </w:r>
      <w:r>
        <w:t xml:space="preserve"> </w:t>
      </w:r>
      <w:r>
        <w:t xml:space="preserve">35% ($5,460.00) due upon filing of the formal legal demand before the competent court in Venezuela Caracas.</w:t>
      </w:r>
    </w:p>
    <w:p>
      <w:pPr>
        <w:numPr>
          <w:ilvl w:val="0"/>
          <w:numId w:val="1001"/>
        </w:numPr>
        <w:pStyle w:val="Compact"/>
      </w:pPr>
      <w:r>
        <w:rPr>
          <w:bCs/>
          <w:b/>
        </w:rPr>
        <w:t xml:space="preserve">Final Payment:</w:t>
      </w:r>
      <w:r>
        <w:t xml:space="preserve"> </w:t>
      </w:r>
      <w:r>
        <w:t xml:space="preserve">25% ($3,900.00) due upon conclusion of the matter, settlement, or final judicial resolution, whichever occurs first.</w:t>
      </w:r>
    </w:p>
    <w:p>
      <w:pPr>
        <w:numPr>
          <w:ilvl w:val="0"/>
          <w:numId w:val="1001"/>
        </w:numPr>
        <w:pStyle w:val="Compact"/>
      </w:pPr>
      <w:r>
        <w:rPr>
          <w:bCs/>
          <w:b/>
        </w:rPr>
        <w:t xml:space="preserve">Hourly Charges:</w:t>
      </w:r>
      <w:r>
        <w:t xml:space="preserve"> </w:t>
      </w:r>
      <w:r>
        <w:t xml:space="preserve">Any hours exceeding the estimated 20 hours of advisory consultation will be billed at $150.00 per hour, invoiced monthly.</w:t>
      </w:r>
    </w:p>
    <w:p>
      <w:pPr>
        <w:numPr>
          <w:ilvl w:val="0"/>
          <w:numId w:val="1001"/>
        </w:numPr>
        <w:pStyle w:val="Compact"/>
      </w:pPr>
      <w:r>
        <w:rPr>
          <w:bCs/>
          <w:b/>
        </w:rPr>
        <w:t xml:space="preserve">Payment Method:</w:t>
      </w:r>
      <w:r>
        <w:t xml:space="preserve"> </w:t>
      </w:r>
      <w:r>
        <w:t xml:space="preserve">Bank transfer to the firm's account at Banco Mercantil, Venezuela Caracas branch, or wire transfer via SWIFT. Checks are not accepted.</w:t>
      </w:r>
    </w:p>
    <w:p>
      <w:pPr>
        <w:pStyle w:val="FirstParagraph"/>
      </w:pPr>
      <w:r>
        <w:t xml:space="preserve">Terms and Conditions</w:t>
      </w:r>
    </w:p>
    <w:p>
      <w:pPr>
        <w:numPr>
          <w:ilvl w:val="0"/>
          <w:numId w:val="1002"/>
        </w:numPr>
        <w:pStyle w:val="Compact"/>
      </w:pPr>
      <w:r>
        <w:t xml:space="preserve">This Quotation Estimate is valid for thirty (30) calendar days from the date of issue. After this period, fees may be subject to revision based on market conditions and the Lawyer's updated rate schedule.</w:t>
      </w:r>
    </w:p>
    <w:p>
      <w:pPr>
        <w:numPr>
          <w:ilvl w:val="0"/>
          <w:numId w:val="1002"/>
        </w:numPr>
        <w:pStyle w:val="Compact"/>
      </w:pPr>
      <w:r>
        <w:t xml:space="preserve">The engagement of our Lawyer is contingent upon the Client's written acceptance of this Quotation Estimate and the execution of a formal Retainer Agreement in duplicate.</w:t>
      </w:r>
    </w:p>
    <w:p>
      <w:pPr>
        <w:numPr>
          <w:ilvl w:val="0"/>
          <w:numId w:val="1002"/>
        </w:numPr>
        <w:pStyle w:val="Compact"/>
      </w:pPr>
      <w:r>
        <w:t xml:space="preserve">Bolívar &amp; Asociados Abogados, C.A. reserves the right to withdraw from the representation with thirty (30) days' written notice, in which case fees for services rendered up to the date of withdrawal shall be due and payable.</w:t>
      </w:r>
    </w:p>
    <w:p>
      <w:pPr>
        <w:numPr>
          <w:ilvl w:val="0"/>
          <w:numId w:val="1002"/>
        </w:numPr>
        <w:pStyle w:val="Compact"/>
      </w:pPr>
      <w:r>
        <w:t xml:space="preserve">All communications, filings, and legal proceedings will be conducted in Spanish, the official language of the Venezuelan judicial system in Venezuela Caracas. Translations into English will be provided for the Client's reference at an additional cost.</w:t>
      </w:r>
    </w:p>
    <w:p>
      <w:pPr>
        <w:numPr>
          <w:ilvl w:val="0"/>
          <w:numId w:val="1002"/>
        </w:numPr>
        <w:pStyle w:val="Compact"/>
      </w:pPr>
      <w:r>
        <w:t xml:space="preserve">The Lawyer and firm maintain strict professional confidentiality in accordance with the Venezuelan Code of Ethics for Lawyers (Código de Ética del Abogado). No information pertaining to this matter shall be disclosed to third parties without the Client's written consent.</w:t>
      </w:r>
    </w:p>
    <w:p>
      <w:pPr>
        <w:numPr>
          <w:ilvl w:val="0"/>
          <w:numId w:val="1002"/>
        </w:numPr>
        <w:pStyle w:val="Compact"/>
      </w:pPr>
      <w:r>
        <w:t xml:space="preserve">This Quotation Estimate does not constitute a guarantee of any specific legal outcome. The Lawyer will exercise the highest degree of professional diligence, but the result of any judicial proceeding is subject to the discretion of the Venezuelan courts.</w:t>
      </w:r>
    </w:p>
    <w:p>
      <w:pPr>
        <w:numPr>
          <w:ilvl w:val="0"/>
          <w:numId w:val="1002"/>
        </w:numPr>
        <w:pStyle w:val="Compact"/>
      </w:pPr>
      <w:r>
        <w:t xml:space="preserve">Disputes arising from this Quotation Estimate or the subsequent engagement shall be resolved through binding arbitration in Venezuela Caracas, in accordance with the Ley de Arbitraje vigente.</w:t>
      </w:r>
    </w:p>
    <w:p>
      <w:pPr>
        <w:numPr>
          <w:ilvl w:val="0"/>
          <w:numId w:val="1002"/>
        </w:numPr>
        <w:pStyle w:val="Compact"/>
      </w:pPr>
      <w:r>
        <w:t xml:space="preserve">The Client acknowledges that the fees set forth in this Quotation Estimate represent professional legal services and are distinct from court-imposed costs, expert witness fees, or third-party expenses, which will be billed separately as incurred.</w:t>
      </w:r>
    </w:p>
    <w:p>
      <w:pPr>
        <w:pStyle w:val="FirstParagraph"/>
      </w:pPr>
      <w:r>
        <w:t xml:space="preserve">Acceptance &amp; Authorization</w:t>
      </w:r>
    </w:p>
    <w:p>
      <w:pPr>
        <w:pStyle w:val="BodyText"/>
      </w:pPr>
      <w:r>
        <w:t xml:space="preserve">By signing below, the Client acknowledges receipt of this Quotation Estimate, agrees to the terms and conditions outlined herein, and authorizes the engagement of the Lawyer and legal team at Bolívar &amp; Asociados Abogados, C.A. for the services described in this document. This acceptance constitutes a binding commitment to the payment schedule specified above.</w:t>
      </w:r>
    </w:p>
    <w:p>
      <w:pPr>
        <w:pStyle w:val="BodyText"/>
      </w:pPr>
      <w:r>
        <w:rPr>
          <w:bCs/>
          <w:b/>
        </w:rPr>
        <w:t xml:space="preserve">For the Firm (Lawyer / Lead Counsel)</w:t>
      </w:r>
      <w:r>
        <w:br/>
      </w:r>
      <w:r>
        <w:t xml:space="preserve">Lic. María Elena Rodríguez</w:t>
      </w:r>
      <w:r>
        <w:br/>
      </w:r>
      <w:r>
        <w:t xml:space="preserve">Senior Partner, Bolívar &amp; Asociados Abogados, C.A.</w:t>
      </w:r>
      <w:r>
        <w:br/>
      </w:r>
      <w:r>
        <w:t xml:space="preserve">Venezuela Caracas</w:t>
      </w:r>
      <w:r>
        <w:br/>
      </w:r>
      <w:r>
        <w:t xml:space="preserve">Date: ______________________</w:t>
      </w:r>
    </w:p>
    <w:p>
      <w:pPr>
        <w:pStyle w:val="BodyText"/>
      </w:pPr>
      <w:r>
        <w:rPr>
          <w:bCs/>
          <w:b/>
        </w:rPr>
        <w:t xml:space="preserve">Client Acceptance</w:t>
      </w:r>
      <w:r>
        <w:br/>
      </w:r>
      <w:r>
        <w:t xml:space="preserve">[CLIENT FULL NAME]</w:t>
      </w:r>
      <w:r>
        <w:br/>
      </w:r>
      <w:r>
        <w:t xml:space="preserve">C.I.: V-12.345.678</w:t>
      </w:r>
      <w:r>
        <w:br/>
      </w:r>
      <w:r>
        <w:t xml:space="preserve">Venezuela Caracas</w:t>
      </w:r>
      <w:r>
        <w:br/>
      </w:r>
      <w:r>
        <w:t xml:space="preserve">Date: ______________________</w:t>
      </w:r>
    </w:p>
    <w:p>
      <w:pPr>
        <w:pStyle w:val="BodyText"/>
      </w:pPr>
      <w:r>
        <w:rPr>
          <w:bCs/>
          <w:b/>
        </w:rPr>
        <w:t xml:space="preserve">Bolívar &amp; Asociados Abogados, C.A.</w:t>
      </w:r>
      <w:r>
        <w:t xml:space="preserve"> </w:t>
      </w:r>
      <w:r>
        <w:t xml:space="preserve">— Quotation Estimate QE-2025-0487 — Page 1 of 1</w:t>
      </w:r>
    </w:p>
    <w:p>
      <w:pPr>
        <w:pStyle w:val="BodyText"/>
      </w:pPr>
      <w:r>
        <w:t xml:space="preserve">This document is a Quotation Estimate for professional Lawyer services in Venezuela Caracas. It is not a contract until formally executed by both parties. For inquiries regarding this Quotation Estimate, please contact our office at +58 (212) 555-0147 or legal@bolivar-asociados.com.ve. All rights reserved. © 2025 Bolívar &amp; Asociados Abogados, C.A.,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Venezuela Caracas</dc:title>
  <dc:creator/>
  <dc:language>en</dc:language>
  <cp:keywords/>
  <dcterms:created xsi:type="dcterms:W3CDTF">2026-10-10T07:35:24Z</dcterms:created>
  <dcterms:modified xsi:type="dcterms:W3CDTF">2026-10-10T07:35:24Z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