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0" w:name="quotation-estimate"/>
    <w:p>
      <w:pPr>
        <w:pStyle w:val="Heading1"/>
      </w:pPr>
      <w:r>
        <w:t xml:space="preserve">QUOTATION ESTIMATE</w:t>
      </w:r>
    </w:p>
    <w:p>
      <w:pPr>
        <w:pStyle w:val="FirstParagraph"/>
      </w:pPr>
      <w:r>
        <w:t xml:space="preserve">Professional Librarian Services — Colombia, Medellín</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QTE-MDE-2025-0487</w:t>
            </w:r>
          </w:p>
        </w:tc>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Validity Period:</w:t>
            </w:r>
          </w:p>
        </w:tc>
        <w:tc>
          <w:tcPr/>
          <w:p>
            <w:pPr>
              <w:pStyle w:val="Compact"/>
              <w:jc w:val="left"/>
            </w:pPr>
            <w:r>
              <w:t xml:space="preserve">30 calendar days from date of issue</w:t>
            </w:r>
          </w:p>
        </w:tc>
        <w:tc>
          <w:tcPr/>
          <w:p>
            <w:pPr>
              <w:pStyle w:val="Compact"/>
              <w:jc w:val="left"/>
            </w:pPr>
            <w:r>
              <w:t xml:space="preserve">Currency:</w:t>
            </w:r>
          </w:p>
        </w:tc>
        <w:tc>
          <w:tcPr/>
          <w:p>
            <w:pPr>
              <w:pStyle w:val="Compact"/>
              <w:jc w:val="left"/>
            </w:pPr>
            <w:r>
              <w:t xml:space="preserve">COP (Colombian Peso) / USD</w:t>
            </w:r>
          </w:p>
        </w:tc>
      </w:tr>
      <w:tr>
        <w:tc>
          <w:tcPr/>
          <w:p>
            <w:pPr>
              <w:pStyle w:val="Compact"/>
              <w:jc w:val="left"/>
            </w:pPr>
            <w:r>
              <w:t xml:space="preserve">Prepared By:</w:t>
            </w:r>
          </w:p>
        </w:tc>
        <w:tc>
          <w:tcPr/>
          <w:p>
            <w:pPr>
              <w:pStyle w:val="Compact"/>
              <w:jc w:val="left"/>
            </w:pPr>
            <w:r>
              <w:t xml:space="preserve">Medellín Knowledge Solutions S.A.S.</w:t>
            </w:r>
          </w:p>
        </w:tc>
        <w:tc>
          <w:tcPr/>
          <w:p>
            <w:pPr>
              <w:pStyle w:val="Compact"/>
              <w:jc w:val="left"/>
            </w:pPr>
            <w:r>
              <w:t xml:space="preserve">Location:</w:t>
            </w:r>
          </w:p>
        </w:tc>
        <w:tc>
          <w:tcPr/>
          <w:p>
            <w:pPr>
              <w:pStyle w:val="Compact"/>
              <w:jc w:val="left"/>
            </w:pPr>
            <w:r>
              <w:t xml:space="preserve">Calle 43 # 43A-15, El Poblado, Medellín, Antioquia, Colombia</w:t>
            </w:r>
          </w:p>
        </w:tc>
      </w:tr>
      <w:tr>
        <w:tc>
          <w:tcPr/>
          <w:p>
            <w:pPr>
              <w:pStyle w:val="Compact"/>
              <w:jc w:val="left"/>
            </w:pPr>
            <w:r>
              <w:t xml:space="preserve">Prepared For:</w:t>
            </w:r>
          </w:p>
        </w:tc>
        <w:tc>
          <w:tcPr/>
          <w:p>
            <w:pPr>
              <w:pStyle w:val="Compact"/>
              <w:jc w:val="left"/>
            </w:pPr>
            <w:r>
              <w:t xml:space="preserve">Universidad de Antioquia — Biblioteca Central</w:t>
            </w:r>
          </w:p>
        </w:tc>
        <w:tc>
          <w:tcPr/>
          <w:p>
            <w:pPr>
              <w:pStyle w:val="Compact"/>
              <w:jc w:val="left"/>
            </w:pPr>
            <w:r>
              <w:t xml:space="preserve">Contact:</w:t>
            </w:r>
          </w:p>
        </w:tc>
        <w:tc>
          <w:tcPr/>
          <w:p>
            <w:pPr>
              <w:pStyle w:val="Compact"/>
              <w:jc w:val="left"/>
            </w:pPr>
            <w:r>
              <w:t xml:space="preserve">Dr. Carlos Restrepo, Head of Library Operations</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Medellín Knowledge Solutions S.A.S., a specialized information management firm registered in the city of Medellín, Antioquia, Colombia, to provide a comprehensive and itemized cost breakdown for the engagement of a certified</w:t>
      </w:r>
      <w:r>
        <w:t xml:space="preserve"> </w:t>
      </w:r>
      <w:r>
        <w:t xml:space="preserve">Librarian</w:t>
      </w:r>
      <w:r>
        <w:t xml:space="preserve"> </w:t>
      </w:r>
      <w:r>
        <w:t xml:space="preserve">professional. The services described herein are tailored specifically to the academic, cultural, and institutional needs of the client located in</w:t>
      </w:r>
      <w:r>
        <w:t xml:space="preserve"> </w:t>
      </w:r>
      <w:r>
        <w:t xml:space="preserve">Colombia, Medellín</w:t>
      </w:r>
      <w:r>
        <w:t xml:space="preserve">, and are designed to enhance the operational capacity, digital transformation, and community outreach programs of the client's library infrastructure.</w:t>
      </w:r>
    </w:p>
    <w:p>
      <w:pPr>
        <w:pStyle w:val="BodyText"/>
      </w:pPr>
      <w:r>
        <w:t xml:space="preserve">The</w:t>
      </w:r>
      <w:r>
        <w:t xml:space="preserve"> </w:t>
      </w:r>
      <w:r>
        <w:t xml:space="preserve">Librarian</w:t>
      </w:r>
      <w:r>
        <w:t xml:space="preserve"> </w:t>
      </w:r>
      <w:r>
        <w:t xml:space="preserve">services outlined in this</w:t>
      </w:r>
      <w:r>
        <w:t xml:space="preserve"> </w:t>
      </w:r>
      <w:r>
        <w:t xml:space="preserve">Quotation Estimate</w:t>
      </w:r>
      <w:r>
        <w:t xml:space="preserve"> </w:t>
      </w:r>
      <w:r>
        <w:t xml:space="preserve">encompass cataloging, reference services, digital archiving, collection development, user training, and interlibrary cooperation, all delivered in accordance with the professional standards established by the Colombian Association of Librarians (Asociación Colombiana de Bibliotecarios) and the International Federation of Library Associations (IFLA).</w:t>
      </w:r>
    </w:p>
    <w:bookmarkEnd w:id="21"/>
    <w:bookmarkStart w:id="22" w:name="itemized-services-and-cost-breakdown"/>
    <w:p>
      <w:pPr>
        <w:pStyle w:val="Heading2"/>
      </w:pPr>
      <w:r>
        <w:t xml:space="preserve">2. Itemized Services and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Rate (COP)</w:t>
            </w:r>
          </w:p>
        </w:tc>
        <w:tc>
          <w:tcPr/>
          <w:p>
            <w:pPr>
              <w:pStyle w:val="Compact"/>
              <w:jc w:val="left"/>
            </w:pPr>
            <w:r>
              <w:t xml:space="preserve">Subtotal (COP)</w:t>
            </w:r>
          </w:p>
        </w:tc>
      </w:tr>
      <w:tr>
        <w:tc>
          <w:tcPr/>
          <w:p>
            <w:pPr>
              <w:pStyle w:val="Compact"/>
              <w:jc w:val="left"/>
            </w:pPr>
            <w:r>
              <w:t xml:space="preserve">1</w:t>
            </w:r>
          </w:p>
        </w:tc>
        <w:tc>
          <w:tcPr/>
          <w:p>
            <w:pPr>
              <w:pStyle w:val="Compact"/>
              <w:jc w:val="left"/>
            </w:pPr>
            <w:r>
              <w:t xml:space="preserve">Full-time certified Librarian engagement for daily cataloging, classification (CDD/UDC), and metadata management of physical and digital collections at the Medellín central branch.</w:t>
            </w:r>
          </w:p>
        </w:tc>
        <w:tc>
          <w:tcPr/>
          <w:p>
            <w:pPr>
              <w:pStyle w:val="Compact"/>
              <w:jc w:val="left"/>
            </w:pPr>
            <w:r>
              <w:t xml:space="preserve">12 months (220 working days)</w:t>
            </w:r>
          </w:p>
        </w:tc>
        <w:tc>
          <w:tcPr/>
          <w:p>
            <w:pPr>
              <w:pStyle w:val="Compact"/>
              <w:jc w:val="left"/>
            </w:pPr>
            <w:r>
              <w:t xml:space="preserve">4,850,000 / month</w:t>
            </w:r>
          </w:p>
        </w:tc>
        <w:tc>
          <w:tcPr/>
          <w:p>
            <w:pPr>
              <w:pStyle w:val="Compact"/>
              <w:jc w:val="left"/>
            </w:pPr>
            <w:r>
              <w:t xml:space="preserve">58,200,000</w:t>
            </w:r>
          </w:p>
        </w:tc>
      </w:tr>
      <w:tr>
        <w:tc>
          <w:tcPr/>
          <w:p>
            <w:pPr>
              <w:pStyle w:val="Compact"/>
              <w:jc w:val="left"/>
            </w:pPr>
            <w:r>
              <w:t xml:space="preserve">2</w:t>
            </w:r>
          </w:p>
        </w:tc>
        <w:tc>
          <w:tcPr/>
          <w:p>
            <w:pPr>
              <w:pStyle w:val="Compact"/>
              <w:jc w:val="left"/>
            </w:pPr>
            <w:r>
              <w:t xml:space="preserve">Digital archiving and migration of 15,000 legacy documents from paper to a secure digital repository, including OCR processing, metadata tagging, and compliance with Colombian data protection law (Ley 1581 de 2012).</w:t>
            </w:r>
          </w:p>
        </w:tc>
        <w:tc>
          <w:tcPr/>
          <w:p>
            <w:pPr>
              <w:pStyle w:val="Compact"/>
              <w:jc w:val="left"/>
            </w:pPr>
            <w:r>
              <w:t xml:space="preserve">One-time project</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3</w:t>
            </w:r>
          </w:p>
        </w:tc>
        <w:tc>
          <w:tcPr/>
          <w:p>
            <w:pPr>
              <w:pStyle w:val="Compact"/>
              <w:jc w:val="left"/>
            </w:pPr>
            <w:r>
              <w:t xml:space="preserve">Reference and information literacy training sessions for 200 university students and 30 faculty members, conducted in Spanish and English, held at the Medellín campus.</w:t>
            </w:r>
          </w:p>
        </w:tc>
        <w:tc>
          <w:tcPr/>
          <w:p>
            <w:pPr>
              <w:pStyle w:val="Compact"/>
              <w:jc w:val="left"/>
            </w:pPr>
            <w:r>
              <w:t xml:space="preserve">8 sessions (2-hour each)</w:t>
            </w:r>
          </w:p>
        </w:tc>
        <w:tc>
          <w:tcPr/>
          <w:p>
            <w:pPr>
              <w:pStyle w:val="Compact"/>
              <w:jc w:val="left"/>
            </w:pPr>
            <w:r>
              <w:t xml:space="preserve">1,200,000 / session</w:t>
            </w:r>
          </w:p>
        </w:tc>
        <w:tc>
          <w:tcPr/>
          <w:p>
            <w:pPr>
              <w:pStyle w:val="Compact"/>
              <w:jc w:val="left"/>
            </w:pPr>
            <w:r>
              <w:t xml:space="preserve">9,600,000</w:t>
            </w:r>
          </w:p>
        </w:tc>
      </w:tr>
      <w:tr>
        <w:tc>
          <w:tcPr/>
          <w:p>
            <w:pPr>
              <w:pStyle w:val="Compact"/>
              <w:jc w:val="left"/>
            </w:pPr>
            <w:r>
              <w:t xml:space="preserve">4</w:t>
            </w:r>
          </w:p>
        </w:tc>
        <w:tc>
          <w:tcPr/>
          <w:p>
            <w:pPr>
              <w:pStyle w:val="Compact"/>
              <w:jc w:val="left"/>
            </w:pPr>
            <w:r>
              <w:t xml:space="preserve">Collection development advisory: annual review and acquisition recommendation for the Medellín branch, including negotiation with Colombian and international publishers.</w:t>
            </w:r>
          </w:p>
        </w:tc>
        <w:tc>
          <w:tcPr/>
          <w:p>
            <w:pPr>
              <w:pStyle w:val="Compact"/>
              <w:jc w:val="left"/>
            </w:pPr>
            <w:r>
              <w:t xml:space="preserve">12 months</w:t>
            </w:r>
          </w:p>
        </w:tc>
        <w:tc>
          <w:tcPr/>
          <w:p>
            <w:pPr>
              <w:pStyle w:val="Compact"/>
              <w:jc w:val="left"/>
            </w:pPr>
            <w:r>
              <w:t xml:space="preserve">2,100,000 / month</w:t>
            </w:r>
          </w:p>
        </w:tc>
        <w:tc>
          <w:tcPr/>
          <w:p>
            <w:pPr>
              <w:pStyle w:val="Compact"/>
              <w:jc w:val="left"/>
            </w:pPr>
            <w:r>
              <w:t xml:space="preserve">25,200,000</w:t>
            </w:r>
          </w:p>
        </w:tc>
      </w:tr>
      <w:tr>
        <w:tc>
          <w:tcPr/>
          <w:p>
            <w:pPr>
              <w:pStyle w:val="Compact"/>
              <w:jc w:val="left"/>
            </w:pPr>
            <w:r>
              <w:t xml:space="preserve">5</w:t>
            </w:r>
          </w:p>
        </w:tc>
        <w:tc>
          <w:tcPr/>
          <w:p>
            <w:pPr>
              <w:pStyle w:val="Compact"/>
              <w:jc w:val="left"/>
            </w:pPr>
            <w:r>
              <w:t xml:space="preserve">Interlibrary loan coordination and participation in the Red de Bibliotecas de Antioquia network, ensuring seamless resource sharing across Medellín and surrounding municipalities.</w:t>
            </w:r>
          </w:p>
        </w:tc>
        <w:tc>
          <w:tcPr/>
          <w:p>
            <w:pPr>
              <w:pStyle w:val="Compact"/>
              <w:jc w:val="left"/>
            </w:pPr>
            <w:r>
              <w:t xml:space="preserve">12 months</w:t>
            </w:r>
          </w:p>
        </w:tc>
        <w:tc>
          <w:tcPr/>
          <w:p>
            <w:pPr>
              <w:pStyle w:val="Compact"/>
              <w:jc w:val="left"/>
            </w:pPr>
            <w:r>
              <w:t xml:space="preserve">850,000 / month</w:t>
            </w:r>
          </w:p>
        </w:tc>
        <w:tc>
          <w:tcPr/>
          <w:p>
            <w:pPr>
              <w:pStyle w:val="Compact"/>
              <w:jc w:val="left"/>
            </w:pPr>
            <w:r>
              <w:t xml:space="preserve">10,200,000</w:t>
            </w:r>
          </w:p>
        </w:tc>
      </w:tr>
      <w:tr>
        <w:tc>
          <w:tcPr/>
          <w:p>
            <w:pPr>
              <w:pStyle w:val="Compact"/>
              <w:jc w:val="left"/>
            </w:pPr>
            <w:r>
              <w:t xml:space="preserve">6</w:t>
            </w:r>
          </w:p>
        </w:tc>
        <w:tc>
          <w:tcPr/>
          <w:p>
            <w:pPr>
              <w:pStyle w:val="Compact"/>
              <w:jc w:val="left"/>
            </w:pPr>
            <w:r>
              <w:t xml:space="preserve">Community outreach program design and execution: mobile library events in underserved neighborhoods of Medellín (Comuna 13, La Candelaria, El Poblado), promoting reading culture and digital access.</w:t>
            </w:r>
          </w:p>
        </w:tc>
        <w:tc>
          <w:tcPr/>
          <w:p>
            <w:pPr>
              <w:pStyle w:val="Compact"/>
              <w:jc w:val="left"/>
            </w:pPr>
            <w:r>
              <w:t xml:space="preserve">24 events (2 per month)</w:t>
            </w:r>
          </w:p>
        </w:tc>
        <w:tc>
          <w:tcPr/>
          <w:p>
            <w:pPr>
              <w:pStyle w:val="Compact"/>
              <w:jc w:val="left"/>
            </w:pPr>
            <w:r>
              <w:t xml:space="preserve">950,000 / event</w:t>
            </w:r>
          </w:p>
        </w:tc>
        <w:tc>
          <w:tcPr/>
          <w:p>
            <w:pPr>
              <w:pStyle w:val="Compact"/>
              <w:jc w:val="left"/>
            </w:pPr>
            <w:r>
              <w:t xml:space="preserve">22,800,000</w:t>
            </w:r>
          </w:p>
        </w:tc>
      </w:tr>
      <w:tr>
        <w:tc>
          <w:tcPr/>
          <w:p>
            <w:pPr>
              <w:pStyle w:val="Compact"/>
              <w:jc w:val="left"/>
            </w:pPr>
            <w:r>
              <w:t xml:space="preserve">7</w:t>
            </w:r>
          </w:p>
        </w:tc>
        <w:tc>
          <w:tcPr/>
          <w:p>
            <w:pPr>
              <w:pStyle w:val="Compact"/>
              <w:jc w:val="left"/>
            </w:pPr>
            <w:r>
              <w:t xml:space="preserve">Monthly performance reporting, KPI dashboards, and strategic advisory meetings with library administration in Medellín.</w:t>
            </w:r>
          </w:p>
        </w:tc>
        <w:tc>
          <w:tcPr/>
          <w:p>
            <w:pPr>
              <w:pStyle w:val="Compact"/>
              <w:jc w:val="left"/>
            </w:pPr>
            <w:r>
              <w:t xml:space="preserve">12 months</w:t>
            </w:r>
          </w:p>
        </w:tc>
        <w:tc>
          <w:tcPr/>
          <w:p>
            <w:pPr>
              <w:pStyle w:val="Compact"/>
              <w:jc w:val="left"/>
            </w:pPr>
            <w:r>
              <w:t xml:space="preserve">600,000 / month</w:t>
            </w:r>
          </w:p>
        </w:tc>
        <w:tc>
          <w:tcPr/>
          <w:p>
            <w:pPr>
              <w:pStyle w:val="Compact"/>
              <w:jc w:val="left"/>
            </w:pPr>
            <w:r>
              <w:t xml:space="preserve">7,200,000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(COP)</w:t>
            </w:r>
          </w:p>
        </w:tc>
        <w:tc>
          <w:tcPr/>
          <w:p>
            <w:pPr>
              <w:pStyle w:val="Compact"/>
              <w:jc w:val="right"/>
            </w:pPr>
            <w:r>
              <w:t xml:space="preserve">145,700,000</w:t>
            </w:r>
          </w:p>
        </w:tc>
      </w:tr>
      <w:tr>
        <w:tc>
          <w:tcPr/>
          <w:p>
            <w:pPr>
              <w:pStyle w:val="Compact"/>
              <w:jc w:val="left"/>
            </w:pPr>
            <w:r>
              <w:t xml:space="preserve">Applicable IVA (19% — Colombian VAT)</w:t>
            </w:r>
          </w:p>
        </w:tc>
        <w:tc>
          <w:tcPr/>
          <w:p>
            <w:pPr>
              <w:pStyle w:val="Compact"/>
              <w:jc w:val="right"/>
            </w:pPr>
            <w:r>
              <w:t xml:space="preserve">27,683,000</w:t>
            </w:r>
          </w:p>
        </w:tc>
      </w:tr>
      <w:tr>
        <w:tc>
          <w:tcPr/>
          <w:p>
            <w:pPr>
              <w:pStyle w:val="Compact"/>
              <w:jc w:val="left"/>
            </w:pPr>
            <w:r>
              <w:t xml:space="preserve">Professional Liability Insurance (Colombia)</w:t>
            </w:r>
          </w:p>
        </w:tc>
        <w:tc>
          <w:tcPr/>
          <w:p>
            <w:pPr>
              <w:pStyle w:val="Compact"/>
              <w:jc w:val="right"/>
            </w:pPr>
            <w:r>
              <w:t xml:space="preserve">3,500,000</w:t>
            </w:r>
          </w:p>
        </w:tc>
      </w:tr>
      <w:tr>
        <w:tc>
          <w:tcPr/>
          <w:p>
            <w:pPr>
              <w:pStyle w:val="Compact"/>
              <w:jc w:val="left"/>
            </w:pPr>
            <w:r>
              <w:t xml:space="preserve">GRAND TOTAL (COP)</w:t>
            </w:r>
          </w:p>
        </w:tc>
        <w:tc>
          <w:tcPr/>
          <w:p>
            <w:pPr>
              <w:pStyle w:val="Compact"/>
              <w:jc w:val="right"/>
            </w:pPr>
            <w:r>
              <w:t xml:space="preserve">176,883,000</w:t>
            </w:r>
          </w:p>
        </w:tc>
      </w:tr>
      <w:tr>
        <w:tc>
          <w:tcPr/>
          <w:p>
            <w:pPr>
              <w:pStyle w:val="Compact"/>
              <w:jc w:val="left"/>
            </w:pPr>
            <w:r>
              <w:t xml:space="preserve">Approximate USD Equivalent</w:t>
            </w:r>
          </w:p>
        </w:tc>
        <w:tc>
          <w:tcPr/>
          <w:p>
            <w:pPr>
              <w:pStyle w:val="Compact"/>
              <w:jc w:val="right"/>
            </w:pPr>
            <w:r>
              <w:t xml:space="preserve">USD 45,200.00</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this period, all pricing, particularly the COP-to-USD conversion rate, may be subject to revision due to market fluctuations in Colombia.</w:t>
      </w:r>
    </w:p>
    <w:p>
      <w:pPr>
        <w:numPr>
          <w:ilvl w:val="0"/>
          <w:numId w:val="1001"/>
        </w:numPr>
        <w:pStyle w:val="Compact"/>
      </w:pPr>
      <w:r>
        <w:t xml:space="preserve">Payment terms: 40% advance upon contract signing, 30% at the six-month milestone, and 30% upon successful completion of the twelve-month engagement. All payments shall be made via bank transfer to a Colombian financial institution in Medellín.</w:t>
      </w:r>
    </w:p>
    <w:p>
      <w:pPr>
        <w:numPr>
          <w:ilvl w:val="0"/>
          <w:numId w:val="1001"/>
        </w:numPr>
        <w:pStyle w:val="Compact"/>
      </w:pPr>
      <w:r>
        <w:t xml:space="preserve">The</w:t>
      </w:r>
      <w:r>
        <w:t xml:space="preserve"> </w:t>
      </w:r>
      <w:r>
        <w:t xml:space="preserve">Librarian</w:t>
      </w:r>
      <w:r>
        <w:t xml:space="preserve"> </w:t>
      </w:r>
      <w:r>
        <w:t xml:space="preserve">professional assigned to this project shall hold a minimum of a Master's degree in Library Science (Maestría en Ciencia de la Información) from a recognized Colombian or international university, with a minimum of five (5) years of professional experience in academic or public library settings in Colombia.</w:t>
      </w:r>
    </w:p>
    <w:p>
      <w:pPr>
        <w:numPr>
          <w:ilvl w:val="0"/>
          <w:numId w:val="1001"/>
        </w:numPr>
        <w:pStyle w:val="Compact"/>
      </w:pPr>
      <w:r>
        <w:t xml:space="preserve">All services shall be performed in compliance with Colombian labor law (Código Sustantivo del Trabajo, Decreto 2351 de 1965) and applicable regulations of the city of Medellín, Antioquia.</w:t>
      </w:r>
    </w:p>
    <w:p>
      <w:pPr>
        <w:numPr>
          <w:ilvl w:val="0"/>
          <w:numId w:val="1001"/>
        </w:numPr>
        <w:pStyle w:val="Compact"/>
      </w:pPr>
      <w:r>
        <w:t xml:space="preserve">Intellectual property of all reports, metadata schemas, and training materials developed under this engagement shall be jointly owned by the client and Medellín Knowledge Solutions S.A.S., as stipulated in the master service agreement.</w:t>
      </w:r>
    </w:p>
    <w:p>
      <w:pPr>
        <w:numPr>
          <w:ilvl w:val="0"/>
          <w:numId w:val="1001"/>
        </w:numPr>
        <w:pStyle w:val="Compact"/>
      </w:pPr>
      <w:r>
        <w:t xml:space="preserve">Force majeure events, including but not limited to natural disasters, public health emergencies, or government-mandated closures in Medellín, shall suspend the service timeline without penalty to either party.</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A formal service agreement must be executed by both parties before any work commences. The final contract shall be governed by the laws of the Republic of Colombia, with jurisdiction in the courts of Medellín, Antioquia.</w:t>
      </w:r>
    </w:p>
    <w:p>
      <w:pPr>
        <w:numPr>
          <w:ilvl w:val="0"/>
          <w:numId w:val="1001"/>
        </w:numPr>
        <w:pStyle w:val="Compact"/>
      </w:pPr>
      <w:r>
        <w:t xml:space="preserve">Any modifications to the scope of</w:t>
      </w:r>
      <w:r>
        <w:t xml:space="preserve"> </w:t>
      </w:r>
      <w:r>
        <w:t xml:space="preserve">Librarian</w:t>
      </w:r>
      <w:r>
        <w:t xml:space="preserve"> </w:t>
      </w:r>
      <w:r>
        <w:t xml:space="preserve">services described herein must be documented in a written amendment signed by both parties. Verbal agreements shall not be recognized.</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Librarian</w:t>
      </w:r>
      <w:r>
        <w:t xml:space="preserve"> </w:t>
      </w:r>
      <w:r>
        <w:t xml:space="preserve">services in</w:t>
      </w:r>
      <w:r>
        <w:t xml:space="preserve"> </w:t>
      </w:r>
      <w:r>
        <w:t xml:space="preserve">Colombia, Medellín</w:t>
      </w:r>
      <w:r>
        <w:t xml:space="preserve">, and confirms that the scope, pricing, and terms presented are understood and acceptable for the purpose of initiating the formal contracting process.</w:t>
      </w:r>
    </w:p>
    <w:p>
      <w:pPr>
        <w:pStyle w:val="BodyText"/>
      </w:pPr>
      <w:r>
        <w:rPr>
          <w:bCs/>
          <w:b/>
        </w:rPr>
        <w:t xml:space="preserve">For Medellín Knowledge Solutions S.A.S.</w:t>
      </w:r>
      <w:r>
        <w:br/>
      </w:r>
      <w:r>
        <w:t xml:space="preserve">Name: _________________________</w:t>
      </w:r>
      <w:r>
        <w:br/>
      </w:r>
      <w:r>
        <w:t xml:space="preserve">Title: General Manager</w:t>
      </w:r>
      <w:r>
        <w:br/>
      </w:r>
      <w:r>
        <w:t xml:space="preserve">Date: _________________________</w:t>
      </w:r>
    </w:p>
    <w:p>
      <w:pPr>
        <w:pStyle w:val="BodyText"/>
      </w:pPr>
      <w:r>
        <w:rPr>
          <w:bCs/>
          <w:b/>
        </w:rPr>
        <w:t xml:space="preserve">For Universidad de Antioquia — Biblioteca Central</w:t>
      </w:r>
      <w:r>
        <w:br/>
      </w:r>
      <w:r>
        <w:t xml:space="preserve">Name: _________________________</w:t>
      </w:r>
      <w:r>
        <w:br/>
      </w:r>
      <w:r>
        <w:t xml:space="preserve">Title: Head of Library Operations</w:t>
      </w:r>
      <w:r>
        <w:br/>
      </w:r>
      <w:r>
        <w:t xml:space="preserve">Date: _________________________</w:t>
      </w:r>
    </w:p>
    <w:p>
      <w:pPr>
        <w:pStyle w:val="BodyText"/>
      </w:pPr>
      <w:r>
        <w:t xml:space="preserve">Medellín Knowledge Solutions S.A.S. — NIT 901.234.567-8 — RUC: Activo</w:t>
      </w:r>
      <w:r>
        <w:br/>
      </w:r>
      <w:r>
        <w:t xml:space="preserve">Calle 43 # 43A-15, El Poblado, Medellín, Antioquia, Colombia — Tel: +57 (604) 444 5566 — Email: quotes@medellinknowledge.co</w:t>
      </w:r>
      <w:r>
        <w:br/>
      </w:r>
      <w:r>
        <w:t xml:space="preserve">This Quotation Estimate is a confidential commercial document. Unauthorized reproduction or distribution is prohibited under Colombian intellectual property law (Ley 23 de 1982).</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Librarian Services - Colombia Medellín</dc:title>
  <dc:creator/>
  <dc:language>en</dc:language>
  <cp:keywords/>
  <dcterms:created xsi:type="dcterms:W3CDTF">2026-10-10T03:44:40Z</dcterms:created>
  <dcterms:modified xsi:type="dcterms:W3CDTF">2026-10-10T03:44:40Z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