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marseille-professional-services-group"/>
    <w:p>
      <w:pPr>
        <w:pStyle w:val="Heading1"/>
      </w:pPr>
      <w:r>
        <w:t xml:space="preserve">Marseille Professional Services Group</w:t>
      </w:r>
    </w:p>
    <w:p>
      <w:pPr>
        <w:pStyle w:val="FirstParagraph"/>
      </w:pPr>
      <w:r>
        <w:t xml:space="preserve">12 Boulevard du Littoral, 13007 Marseille, France | Tel: +33 4 91 00 00 00 | Email: quotes@mpsg.fr</w:t>
      </w:r>
    </w:p>
    <w:p>
      <w:pPr>
        <w:pStyle w:val="BodyText"/>
      </w:pPr>
      <w:r>
        <w:t xml:space="preserve">SIRET: 842 567 891 00012 | TVA: FR 45 842567891</w:t>
      </w:r>
    </w:p>
    <w:bookmarkEnd w:id="20"/>
    <w:bookmarkStart w:id="29" w:name="quotation-estimate"/>
    <w:p>
      <w:pPr>
        <w:pStyle w:val="Heading2"/>
      </w:pPr>
      <w:r>
        <w:t xml:space="preserve">Quotation Estimate</w:t>
      </w:r>
    </w:p>
    <w:bookmarkStart w:id="21" w:name="prepared-for-client"/>
    <w:p>
      <w:pPr>
        <w:pStyle w:val="Heading3"/>
      </w:pPr>
      <w:r>
        <w:t xml:space="preserve">Prepared For (Client)</w:t>
      </w:r>
    </w:p>
    <w:p>
      <w:pPr>
        <w:pStyle w:val="FirstParagraph"/>
      </w:pPr>
      <w:r>
        <w:rPr>
          <w:bCs/>
          <w:b/>
        </w:rPr>
        <w:t xml:space="preserve">Client Name:</w:t>
      </w:r>
      <w:r>
        <w:t xml:space="preserve"> </w:t>
      </w:r>
      <w:r>
        <w:t xml:space="preserve">Bibliothèque Municipale de Marseille</w:t>
      </w:r>
    </w:p>
    <w:p>
      <w:pPr>
        <w:pStyle w:val="BodyText"/>
      </w:pPr>
      <w:r>
        <w:rPr>
          <w:bCs/>
          <w:b/>
        </w:rPr>
        <w:t xml:space="preserve">Address:</w:t>
      </w:r>
      <w:r>
        <w:t xml:space="preserve"> </w:t>
      </w:r>
      <w:r>
        <w:t xml:space="preserve">44 La Canebière, 13001 Marseille, France</w:t>
      </w:r>
    </w:p>
    <w:p>
      <w:pPr>
        <w:pStyle w:val="BodyText"/>
      </w:pPr>
      <w:r>
        <w:rPr>
          <w:bCs/>
          <w:b/>
        </w:rPr>
        <w:t xml:space="preserve">Contact:</w:t>
      </w:r>
      <w:r>
        <w:t xml:space="preserve"> </w:t>
      </w:r>
      <w:r>
        <w:t xml:space="preserve">Dr. Hélène Marchand, Director</w:t>
      </w:r>
    </w:p>
    <w:p>
      <w:pPr>
        <w:pStyle w:val="BodyText"/>
      </w:pPr>
      <w:r>
        <w:rPr>
          <w:bCs/>
          <w:b/>
        </w:rPr>
        <w:t xml:space="preserve">Email:</w:t>
      </w:r>
      <w:r>
        <w:t xml:space="preserve"> </w:t>
      </w:r>
      <w:r>
        <w:t xml:space="preserve">h.marchand@bm-marseille.fr</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France Marseille</w:t>
      </w:r>
    </w:p>
    <w:p>
      <w:pPr>
        <w:pStyle w:val="BodyText"/>
      </w:pPr>
      <w:r>
        <w:rPr>
          <w:bCs/>
          <w:b/>
        </w:rPr>
        <w:t xml:space="preserve">Currency:</w:t>
      </w:r>
      <w:r>
        <w:t xml:space="preserve"> </w:t>
      </w:r>
      <w:r>
        <w:t xml:space="preserve">EUR (€)</w:t>
      </w:r>
    </w:p>
    <w:bookmarkEnd w:id="22"/>
    <w:bookmarkStart w:id="23"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Marseille Professional Services Group to provide a comprehensive and detailed financial projection for the engagement of a qualified</w:t>
      </w:r>
      <w:r>
        <w:t xml:space="preserve"> </w:t>
      </w:r>
      <w:r>
        <w:t xml:space="preserve">Librarian</w:t>
      </w:r>
      <w:r>
        <w:t xml:space="preserve"> </w:t>
      </w:r>
      <w:r>
        <w:t xml:space="preserve">professional to deliver specialized library management, cataloguing, and information services within the</w:t>
      </w:r>
      <w:r>
        <w:t xml:space="preserve"> </w:t>
      </w:r>
      <w:r>
        <w:t xml:space="preserve">France Marseille</w:t>
      </w:r>
      <w:r>
        <w:t xml:space="preserve"> </w:t>
      </w:r>
      <w:r>
        <w:t xml:space="preserve">metropolitan area. This document serves as a formal cost estimate and is not a binding contract until accepted in writing by both parties. The</w:t>
      </w:r>
      <w:r>
        <w:t xml:space="preserve"> </w:t>
      </w:r>
      <w:r>
        <w:t xml:space="preserve">Quotation Estimate</w:t>
      </w:r>
      <w:r>
        <w:t xml:space="preserve"> </w:t>
      </w:r>
      <w:r>
        <w:t xml:space="preserve">covers all anticipated costs associated with the</w:t>
      </w:r>
      <w:r>
        <w:t xml:space="preserve"> </w:t>
      </w:r>
      <w:r>
        <w:t xml:space="preserve">Librarian</w:t>
      </w:r>
      <w:r>
        <w:t xml:space="preserve"> </w:t>
      </w:r>
      <w:r>
        <w:t xml:space="preserve">engagement, including professional fees, materials, travel within the</w:t>
      </w:r>
      <w:r>
        <w:t xml:space="preserve"> </w:t>
      </w:r>
      <w:r>
        <w:t xml:space="preserve">France Marseille</w:t>
      </w:r>
      <w:r>
        <w:t xml:space="preserve"> </w:t>
      </w:r>
      <w:r>
        <w:t xml:space="preserve">region, and any ancillary services required to ensure full operational support of the library infrastructure.</w:t>
      </w:r>
    </w:p>
    <w:bookmarkEnd w:id="23"/>
    <w:bookmarkStart w:id="24" w:name="description-of-librarian-services"/>
    <w:p>
      <w:pPr>
        <w:pStyle w:val="Heading3"/>
      </w:pPr>
      <w:r>
        <w:t xml:space="preserve">2. Description of Librarian Services</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will provide the following professional services to the client institution located in</w:t>
      </w:r>
      <w:r>
        <w:t xml:space="preserve"> </w:t>
      </w:r>
      <w:r>
        <w:t xml:space="preserve">France Marseille</w:t>
      </w:r>
      <w:r>
        <w:t xml:space="preserve">:</w:t>
      </w:r>
    </w:p>
    <w:p>
      <w:pPr>
        <w:numPr>
          <w:ilvl w:val="0"/>
          <w:numId w:val="1001"/>
        </w:numPr>
        <w:pStyle w:val="Compact"/>
      </w:pPr>
      <w:r>
        <w:t xml:space="preserve">Full-time management and oversight of the library's physical and digital collections, ensuring compliance with French national library standards (BnF guidelines) and local</w:t>
      </w:r>
      <w:r>
        <w:t xml:space="preserve"> </w:t>
      </w:r>
      <w:r>
        <w:t xml:space="preserve">France Marseille</w:t>
      </w:r>
      <w:r>
        <w:t xml:space="preserve"> </w:t>
      </w:r>
      <w:r>
        <w:t xml:space="preserve">municipal regulations.</w:t>
      </w:r>
    </w:p>
    <w:p>
      <w:pPr>
        <w:numPr>
          <w:ilvl w:val="0"/>
          <w:numId w:val="1001"/>
        </w:numPr>
        <w:pStyle w:val="Compact"/>
      </w:pPr>
      <w:r>
        <w:t xml:space="preserve">Development and maintenance of the library's cataloguing system, including migration to the RDA (Resource Description and Access) standard and integration with the Sudoc national database.</w:t>
      </w:r>
    </w:p>
    <w:p>
      <w:pPr>
        <w:numPr>
          <w:ilvl w:val="0"/>
          <w:numId w:val="1001"/>
        </w:numPr>
        <w:pStyle w:val="Compact"/>
      </w:pPr>
      <w:r>
        <w:t xml:space="preserve">Curatorial services for special collections, rare manuscripts, and regional archives specific to the</w:t>
      </w:r>
      <w:r>
        <w:t xml:space="preserve"> </w:t>
      </w:r>
      <w:r>
        <w:t xml:space="preserve">France Marseille</w:t>
      </w:r>
      <w:r>
        <w:t xml:space="preserve"> </w:t>
      </w:r>
      <w:r>
        <w:t xml:space="preserve">historical and cultural heritage.</w:t>
      </w:r>
    </w:p>
    <w:p>
      <w:pPr>
        <w:numPr>
          <w:ilvl w:val="0"/>
          <w:numId w:val="1001"/>
        </w:numPr>
        <w:pStyle w:val="Compact"/>
      </w:pPr>
      <w:r>
        <w:t xml:space="preserve">Reader and patron support services, including reference desk operations, research assistance, and interlibrary loan coordination across the Provence-Alpes-Côte d'Azur region.</w:t>
      </w:r>
    </w:p>
    <w:p>
      <w:pPr>
        <w:numPr>
          <w:ilvl w:val="0"/>
          <w:numId w:val="1001"/>
        </w:numPr>
        <w:pStyle w:val="Compact"/>
      </w:pPr>
      <w:r>
        <w:t xml:space="preserve">Organization of community outreach programs, reading events, and educational workshops tailored to the diverse population of</w:t>
      </w:r>
      <w:r>
        <w:t xml:space="preserve"> </w:t>
      </w:r>
      <w:r>
        <w:t xml:space="preserve">France Marseille</w:t>
      </w:r>
      <w:r>
        <w:t xml:space="preserve">.</w:t>
      </w:r>
    </w:p>
    <w:p>
      <w:pPr>
        <w:numPr>
          <w:ilvl w:val="0"/>
          <w:numId w:val="1001"/>
        </w:numPr>
        <w:pStyle w:val="Compact"/>
      </w:pPr>
      <w:r>
        <w:t xml:space="preserve">Supervision of library staff, including two part-time assistants and one digital archivist, ensuring alignment with the strategic objectives outlined in this</w:t>
      </w:r>
      <w:r>
        <w:t xml:space="preserve"> </w:t>
      </w:r>
      <w:r>
        <w:t xml:space="preserve">Quotation Estimate</w:t>
      </w:r>
      <w:r>
        <w:t xml:space="preserve">.</w:t>
      </w:r>
    </w:p>
    <w:bookmarkEnd w:id="24"/>
    <w:bookmarkStart w:id="25"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Librarian Professional Fee (full-time, 35 hrs/week)</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12</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Collection Cataloguing &amp; Digitization Services</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12</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Special Collections Curation (France Marseille Regional Archives)</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12</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Community Outreach &amp; Educational Programming</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12</w:t>
            </w:r>
          </w:p>
        </w:tc>
        <w:tc>
          <w:tcPr/>
          <w:p>
            <w:pPr>
              <w:pStyle w:val="Compact"/>
              <w:jc w:val="left"/>
            </w:pPr>
            <w:r>
              <w:t xml:space="preserve">€17,400.00</w:t>
            </w:r>
          </w:p>
        </w:tc>
      </w:tr>
      <w:tr>
        <w:tc>
          <w:tcPr/>
          <w:p>
            <w:pPr>
              <w:pStyle w:val="Compact"/>
              <w:jc w:val="left"/>
            </w:pPr>
            <w:r>
              <w:t xml:space="preserve">05</w:t>
            </w:r>
          </w:p>
        </w:tc>
        <w:tc>
          <w:tcPr/>
          <w:p>
            <w:pPr>
              <w:pStyle w:val="Compact"/>
              <w:jc w:val="left"/>
            </w:pPr>
            <w:r>
              <w:t xml:space="preserve">Staff Supervision &amp; Training (2 assistants + 1 archivist)</w:t>
            </w:r>
          </w:p>
        </w:tc>
        <w:tc>
          <w:tcPr/>
          <w:p>
            <w:pPr>
              <w:pStyle w:val="Compact"/>
              <w:jc w:val="left"/>
            </w:pPr>
            <w:r>
              <w:t xml:space="preserve">12 months</w:t>
            </w:r>
          </w:p>
        </w:tc>
        <w:tc>
          <w:tcPr/>
          <w:p>
            <w:pPr>
              <w:pStyle w:val="Compact"/>
              <w:jc w:val="left"/>
            </w:pPr>
            <w:r>
              <w:t xml:space="preserve">€980.00</w:t>
            </w:r>
          </w:p>
        </w:tc>
        <w:tc>
          <w:tcPr/>
          <w:p>
            <w:pPr>
              <w:pStyle w:val="Compact"/>
              <w:jc w:val="left"/>
            </w:pPr>
            <w:r>
              <w:t xml:space="preserve">12</w:t>
            </w:r>
          </w:p>
        </w:tc>
        <w:tc>
          <w:tcPr/>
          <w:p>
            <w:pPr>
              <w:pStyle w:val="Compact"/>
              <w:jc w:val="left"/>
            </w:pPr>
            <w:r>
              <w:t xml:space="preserve">€11,760.00</w:t>
            </w:r>
          </w:p>
        </w:tc>
      </w:tr>
      <w:tr>
        <w:tc>
          <w:tcPr/>
          <w:p>
            <w:pPr>
              <w:pStyle w:val="Compact"/>
              <w:jc w:val="left"/>
            </w:pPr>
            <w:r>
              <w:t xml:space="preserve">06</w:t>
            </w:r>
          </w:p>
        </w:tc>
        <w:tc>
          <w:tcPr/>
          <w:p>
            <w:pPr>
              <w:pStyle w:val="Compact"/>
              <w:jc w:val="left"/>
            </w:pPr>
            <w:r>
              <w:t xml:space="preserve">Travel &amp; Local Transport within France Marseille</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12</w:t>
            </w:r>
          </w:p>
        </w:tc>
        <w:tc>
          <w:tcPr/>
          <w:p>
            <w:pPr>
              <w:pStyle w:val="Compact"/>
              <w:jc w:val="left"/>
            </w:pPr>
            <w:r>
              <w:t xml:space="preserve">€3,840.00</w:t>
            </w:r>
          </w:p>
        </w:tc>
      </w:tr>
      <w:tr>
        <w:tc>
          <w:tcPr/>
          <w:p>
            <w:pPr>
              <w:pStyle w:val="Compact"/>
              <w:jc w:val="left"/>
            </w:pPr>
            <w:r>
              <w:t xml:space="preserve">07</w:t>
            </w:r>
          </w:p>
        </w:tc>
        <w:tc>
          <w:tcPr/>
          <w:p>
            <w:pPr>
              <w:pStyle w:val="Compact"/>
              <w:jc w:val="left"/>
            </w:pPr>
            <w:r>
              <w:t xml:space="preserve">Software Licenses &amp; Digital Infrastructure (ILS, OPAC)</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12</w:t>
            </w:r>
          </w:p>
        </w:tc>
        <w:tc>
          <w:tcPr/>
          <w:p>
            <w:pPr>
              <w:pStyle w:val="Compact"/>
              <w:jc w:val="left"/>
            </w:pPr>
            <w:r>
              <w:t xml:space="preserve">€13,800.00</w:t>
            </w:r>
          </w:p>
        </w:tc>
      </w:tr>
      <w:tr>
        <w:tc>
          <w:tcPr/>
          <w:p>
            <w:pPr>
              <w:pStyle w:val="Compact"/>
              <w:jc w:val="left"/>
            </w:pPr>
            <w:r>
              <w:t xml:space="preserve">08</w:t>
            </w:r>
          </w:p>
        </w:tc>
        <w:tc>
          <w:tcPr/>
          <w:p>
            <w:pPr>
              <w:pStyle w:val="Compact"/>
              <w:jc w:val="left"/>
            </w:pPr>
            <w:r>
              <w:t xml:space="preserve">Administrative &amp; Compliance Reporting (French Library Standards)</w:t>
            </w:r>
          </w:p>
        </w:tc>
        <w:tc>
          <w:tcPr/>
          <w:p>
            <w:pPr>
              <w:pStyle w:val="Compact"/>
              <w:jc w:val="left"/>
            </w:pPr>
            <w:r>
              <w:t xml:space="preserve">12 months</w:t>
            </w:r>
          </w:p>
        </w:tc>
        <w:tc>
          <w:tcPr/>
          <w:p>
            <w:pPr>
              <w:pStyle w:val="Compact"/>
              <w:jc w:val="left"/>
            </w:pPr>
            <w:r>
              <w:t xml:space="preserve">€620.00</w:t>
            </w:r>
          </w:p>
        </w:tc>
        <w:tc>
          <w:tcPr/>
          <w:p>
            <w:pPr>
              <w:pStyle w:val="Compact"/>
              <w:jc w:val="left"/>
            </w:pPr>
            <w:r>
              <w:t xml:space="preserve">12</w:t>
            </w:r>
          </w:p>
        </w:tc>
        <w:tc>
          <w:tcPr/>
          <w:p>
            <w:pPr>
              <w:pStyle w:val="Compact"/>
              <w:jc w:val="left"/>
            </w:pPr>
            <w:r>
              <w:t xml:space="preserve">€7,440.00</w:t>
            </w:r>
          </w:p>
        </w:tc>
      </w:tr>
      <w:tr>
        <w:tc>
          <w:tcPr>
            <w:gridSpan w:val="5"/>
          </w:tcPr>
          <w:p>
            <w:pPr>
              <w:pStyle w:val="Compact"/>
              <w:jc w:val="left"/>
            </w:pPr>
            <w:r>
              <w:t xml:space="preserve">Subtotal</w:t>
            </w:r>
          </w:p>
        </w:tc>
        <w:tc>
          <w:tcPr/>
          <w:p>
            <w:pPr>
              <w:pStyle w:val="Compact"/>
              <w:jc w:val="left"/>
            </w:pPr>
            <w:r>
              <w:t xml:space="preserve">€175,440.00</w:t>
            </w:r>
          </w:p>
        </w:tc>
      </w:tr>
      <w:tr>
        <w:tc>
          <w:tcPr>
            <w:gridSpan w:val="5"/>
          </w:tcPr>
          <w:p>
            <w:pPr>
              <w:pStyle w:val="Compact"/>
              <w:jc w:val="left"/>
            </w:pPr>
            <w:r>
              <w:t xml:space="preserve">VAT (TVA) – 20%</w:t>
            </w:r>
          </w:p>
        </w:tc>
        <w:tc>
          <w:tcPr/>
          <w:p>
            <w:pPr>
              <w:pStyle w:val="Compact"/>
              <w:jc w:val="left"/>
            </w:pPr>
            <w:r>
              <w:t xml:space="preserve">€35,088.00</w:t>
            </w:r>
          </w:p>
        </w:tc>
      </w:tr>
      <w:tr>
        <w:tc>
          <w:tcPr>
            <w:gridSpan w:val="5"/>
          </w:tcPr>
          <w:p>
            <w:pPr>
              <w:pStyle w:val="Compact"/>
              <w:jc w:val="left"/>
            </w:pPr>
            <w:r>
              <w:rPr>
                <w:bCs/>
                <w:b/>
              </w:rPr>
              <w:t xml:space="preserve">Grand Total (Quotation Estimate)</w:t>
            </w:r>
          </w:p>
        </w:tc>
        <w:tc>
          <w:tcPr/>
          <w:p>
            <w:pPr>
              <w:pStyle w:val="Compact"/>
              <w:jc w:val="left"/>
            </w:pPr>
            <w:r>
              <w:rPr>
                <w:bCs/>
                <w:b/>
              </w:rPr>
              <w:t xml:space="preserve">€210,528.00</w:t>
            </w:r>
          </w:p>
        </w:tc>
      </w:tr>
    </w:tbl>
    <w:bookmarkEnd w:id="25"/>
    <w:bookmarkStart w:id="26" w:name="payment-terms"/>
    <w:p>
      <w:pPr>
        <w:pStyle w:val="Heading3"/>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quarterly installments, due within thirty (30) days of invoice issuance. The first installment of €52,632.00 (inclusive of VAT) is due upon contract execution. Subsequent quarterly payments of €52,632.00 each shall be due on 1 September 2025, 1 December 2025, and 1 March 2026. All payments shall be made via bank transfer to the account designated by Marseille Professional Services Group. Late payments shall incur a penalty of 1.5% per month in accordance with French commercial law (Article L441-10 du Code de commerce).</w:t>
      </w:r>
    </w:p>
    <w:bookmarkEnd w:id="26"/>
    <w:bookmarkStart w:id="27"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and terms are subject to revision.</w:t>
      </w:r>
    </w:p>
    <w:p>
      <w:pPr>
        <w:numPr>
          <w:ilvl w:val="0"/>
          <w:numId w:val="1002"/>
        </w:numPr>
        <w:pStyle w:val="Compact"/>
      </w:pPr>
      <w:r>
        <w:t xml:space="preserve">The</w:t>
      </w:r>
      <w:r>
        <w:t xml:space="preserve"> </w:t>
      </w:r>
      <w:r>
        <w:t xml:space="preserve">Librarian</w:t>
      </w:r>
      <w:r>
        <w:t xml:space="preserve"> </w:t>
      </w:r>
      <w:r>
        <w:t xml:space="preserve">professional engaged under this agreement shall comply with all applicable French labor laws, data protection regulations (GDPR), and the specific bylaws governing public libraries in</w:t>
      </w:r>
      <w:r>
        <w:t xml:space="preserve"> </w:t>
      </w:r>
      <w:r>
        <w:t xml:space="preserve">France Marseille</w:t>
      </w:r>
      <w:r>
        <w:t xml:space="preserve">.</w:t>
      </w:r>
    </w:p>
    <w:p>
      <w:pPr>
        <w:numPr>
          <w:ilvl w:val="0"/>
          <w:numId w:val="1002"/>
        </w:numPr>
        <w:pStyle w:val="Compact"/>
      </w:pPr>
      <w:r>
        <w:t xml:space="preserve">All intellectual property generated during the course of the engagement, including cataloguing metadata, digitized content, and program materials, shall remain the property of the client institution in</w:t>
      </w:r>
      <w:r>
        <w:t xml:space="preserve"> </w:t>
      </w:r>
      <w:r>
        <w:t xml:space="preserve">France Marseille</w:t>
      </w:r>
      <w:r>
        <w:t xml:space="preserve">.</w:t>
      </w:r>
    </w:p>
    <w:p>
      <w:pPr>
        <w:numPr>
          <w:ilvl w:val="0"/>
          <w:numId w:val="1002"/>
        </w:numPr>
        <w:pStyle w:val="Compact"/>
      </w:pPr>
      <w:r>
        <w:t xml:space="preserve">Either party may terminate this agreement with sixty (60) days' written notice. In the event of early termination, the client shall be liable for all services rendered up to the termination date as specified in this</w:t>
      </w:r>
      <w:r>
        <w:t xml:space="preserve"> </w:t>
      </w:r>
      <w:r>
        <w:t xml:space="preserve">Quotation Estimate</w:t>
      </w:r>
      <w:r>
        <w:t xml:space="preserve">.</w:t>
      </w:r>
    </w:p>
    <w:p>
      <w:pPr>
        <w:numPr>
          <w:ilvl w:val="0"/>
          <w:numId w:val="1002"/>
        </w:numPr>
        <w:pStyle w:val="Compact"/>
      </w:pPr>
      <w:r>
        <w:t xml:space="preserve">The</w:t>
      </w:r>
      <w:r>
        <w:t xml:space="preserve"> </w:t>
      </w:r>
      <w:r>
        <w:t xml:space="preserve">Librarian</w:t>
      </w:r>
      <w:r>
        <w:t xml:space="preserve"> </w:t>
      </w:r>
      <w:r>
        <w:t xml:space="preserve">shall provide a monthly progress report to the client's Director, detailing collection growth, patron engagement metrics, and any operational challenges encountered within the</w:t>
      </w:r>
      <w:r>
        <w:t xml:space="preserve"> </w:t>
      </w:r>
      <w:r>
        <w:t xml:space="preserve">France Marseille</w:t>
      </w:r>
      <w:r>
        <w:t xml:space="preserve"> </w:t>
      </w:r>
      <w:r>
        <w:t xml:space="preserve">library network.</w:t>
      </w:r>
    </w:p>
    <w:p>
      <w:pPr>
        <w:numPr>
          <w:ilvl w:val="0"/>
          <w:numId w:val="1002"/>
        </w:numPr>
        <w:pStyle w:val="Compact"/>
      </w:pPr>
      <w:r>
        <w:t xml:space="preserve">Force majeure events, including but not limited to natural disasters, public health emergencies, or government-mandated closures affecting</w:t>
      </w:r>
      <w:r>
        <w:t xml:space="preserve"> </w:t>
      </w:r>
      <w:r>
        <w:t xml:space="preserve">France Marseille</w:t>
      </w:r>
      <w:r>
        <w:t xml:space="preserve">, shall suspend obligations under this</w:t>
      </w:r>
      <w:r>
        <w:t xml:space="preserve"> </w:t>
      </w:r>
      <w:r>
        <w:t xml:space="preserve">Quotation Estimate</w:t>
      </w:r>
      <w:r>
        <w:t xml:space="preserve"> </w:t>
      </w:r>
      <w:r>
        <w:t xml:space="preserve">without penalty to either party.</w:t>
      </w:r>
    </w:p>
    <w:p>
      <w:pPr>
        <w:numPr>
          <w:ilvl w:val="0"/>
          <w:numId w:val="1002"/>
        </w:numPr>
        <w:pStyle w:val="Compact"/>
      </w:pPr>
      <w:r>
        <w:t xml:space="preserve">All disputes arising from this</w:t>
      </w:r>
      <w:r>
        <w:t xml:space="preserve"> </w:t>
      </w:r>
      <w:r>
        <w:t xml:space="preserve">Quotation Estimate</w:t>
      </w:r>
      <w:r>
        <w:t xml:space="preserve"> </w:t>
      </w:r>
      <w:r>
        <w:t xml:space="preserve">shall be resolved through amicable negotiation. Failing resolution within thirty days, the matter shall be submitted to the competent courts of Marseille, France.</w:t>
      </w:r>
    </w:p>
    <w:bookmarkEnd w:id="27"/>
    <w:bookmarkStart w:id="28"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projections set forth herein for the engagement of the</w:t>
      </w:r>
      <w:r>
        <w:t xml:space="preserve"> </w:t>
      </w:r>
      <w:r>
        <w:t xml:space="preserve">Librarian</w:t>
      </w:r>
      <w:r>
        <w:t xml:space="preserve"> </w:t>
      </w:r>
      <w:r>
        <w:t xml:space="preserve">professional in</w:t>
      </w:r>
      <w:r>
        <w:t xml:space="preserve"> </w:t>
      </w:r>
      <w:r>
        <w:t xml:space="preserve">France Marseille</w:t>
      </w:r>
      <w:r>
        <w:t xml:space="preserve">. This signature constitutes formal acceptance and authorizes Marseille Professional Services Group to commence the services described.</w:t>
      </w:r>
    </w:p>
    <w:p>
      <w:pPr>
        <w:pStyle w:val="BodyText"/>
      </w:pPr>
      <w:r>
        <w:rPr>
          <w:bCs/>
          <w:b/>
        </w:rPr>
        <w:t xml:space="preserve">For Marseille Professional Services Group</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Bibliothèque Municipale de Marseille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(Ref: QTE-2025-04871) was prepared for Librarian services in France Marseille. Document generated on 15 June 2025. Marseille Professional Services Group – 12 Boulevard du Littoral, 13007 Marseille, France.</w:t>
      </w:r>
    </w:p>
    <w:p>
      <w:pPr>
        <w:pStyle w:val="BodyText"/>
      </w:pPr>
      <w:r>
        <w:t xml:space="preserve">Page 1 of 1 | Confidential – For Client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France Marseille</dc:title>
  <dc:creator/>
  <dc:language>en</dc:language>
  <cp:keywords/>
  <dcterms:created xsi:type="dcterms:W3CDTF">2026-10-10T03:01:11Z</dcterms:created>
  <dcterms:modified xsi:type="dcterms:W3CDTF">2026-10-10T03:01:11Z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