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quotation-estimate"/>
    <w:p>
      <w:pPr>
        <w:pStyle w:val="Heading1"/>
      </w:pPr>
      <w:r>
        <w:t xml:space="preserve">QUOTATION ESTIMATE</w:t>
      </w:r>
    </w:p>
    <w:p>
      <w:pPr>
        <w:pStyle w:val="FirstParagraph"/>
      </w:pPr>
      <w:r>
        <w:rPr>
          <w:bCs/>
          <w:b/>
        </w:rPr>
        <w:t xml:space="preserve">KnowledgeBridge Professional Services Pvt. Ltd.</w:t>
      </w:r>
    </w:p>
    <w:p>
      <w:pPr>
        <w:pStyle w:val="BodyText"/>
      </w:pPr>
      <w:r>
        <w:t xml:space="preserve">Office No. 412, 4th Floor, Trade Centre, Nariman Point, Mumbai – 400021, Maharashtra, India</w:t>
      </w:r>
    </w:p>
    <w:p>
      <w:pPr>
        <w:pStyle w:val="BodyText"/>
      </w:pPr>
      <w:r>
        <w:t xml:space="preserve">Phone: +91-22-4055-8890 | Email: quotations@knowledgebridge.in | GSTIN: 27AABCK1234F1Z5</w:t>
      </w:r>
    </w:p>
    <w:bookmarkEnd w:id="20"/>
    <w:p>
      <w:pPr>
        <w:pStyle w:val="BodyText"/>
      </w:pPr>
      <w:r>
        <w:rPr>
          <w:bCs/>
          <w:b/>
        </w:rPr>
        <w:t xml:space="preserve">Quotation Estimate No.:</w:t>
      </w:r>
      <w:r>
        <w:t xml:space="preserve"> </w:t>
      </w:r>
      <w:r>
        <w:t xml:space="preserve">KB/2025/0472</w:t>
      </w:r>
    </w:p>
    <w:p>
      <w:pPr>
        <w:pStyle w:val="BodyText"/>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30 Days (until 15 July 2025)</w:t>
      </w:r>
    </w:p>
    <w:p>
      <w:pPr>
        <w:pStyle w:val="BodyText"/>
      </w:pPr>
      <w:r>
        <w:rPr>
          <w:bCs/>
          <w:b/>
        </w:rPr>
        <w:t xml:space="preserve">Prepared For:</w:t>
      </w:r>
    </w:p>
    <w:p>
      <w:pPr>
        <w:pStyle w:val="BodyText"/>
      </w:pPr>
      <w:r>
        <w:t xml:space="preserve">M/s. Sharda Educational Trust</w:t>
      </w:r>
    </w:p>
    <w:p>
      <w:pPr>
        <w:pStyle w:val="BodyText"/>
      </w:pPr>
      <w:r>
        <w:t xml:space="preserve">Library Wing, Andheri West, Mumbai – 400053</w:t>
      </w:r>
    </w:p>
    <w:p>
      <w:pPr>
        <w:pStyle w:val="BodyText"/>
      </w:pPr>
      <w:r>
        <w:t xml:space="preserve">Attn: Dr. Meera Kulkarni, Chief Librarian</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KnowledgeBridge Professional Services Pvt. Ltd., a registered firm operating out of</w:t>
      </w:r>
      <w:r>
        <w:t xml:space="preserve"> </w:t>
      </w:r>
      <w:r>
        <w:t xml:space="preserve">India Mumbai</w:t>
      </w:r>
      <w:r>
        <w:t xml:space="preserve">, to provide a comprehensive and itemized cost breakdown for the engagement of a full-time</w:t>
      </w:r>
      <w:r>
        <w:t xml:space="preserve"> </w:t>
      </w:r>
      <w:r>
        <w:t xml:space="preserve">Librarian</w:t>
      </w:r>
      <w:r>
        <w:t xml:space="preserve"> </w:t>
      </w:r>
      <w:r>
        <w:t xml:space="preserve">professional. The scope of this</w:t>
      </w:r>
      <w:r>
        <w:t xml:space="preserve"> </w:t>
      </w:r>
      <w:r>
        <w:t xml:space="preserve">Quotation Estimate</w:t>
      </w:r>
      <w:r>
        <w:t xml:space="preserve"> </w:t>
      </w:r>
      <w:r>
        <w:t xml:space="preserve">covers the recruitment, onboarding, and ongoing professional services of a qualified</w:t>
      </w:r>
      <w:r>
        <w:t xml:space="preserve"> </w:t>
      </w:r>
      <w:r>
        <w:t xml:space="preserve">Librarian</w:t>
      </w:r>
      <w:r>
        <w:t xml:space="preserve"> </w:t>
      </w:r>
      <w:r>
        <w:t xml:space="preserve">to be deployed at the client's library facility located in</w:t>
      </w:r>
      <w:r>
        <w:t xml:space="preserve"> </w:t>
      </w:r>
      <w:r>
        <w:t xml:space="preserve">India Mumbai</w:t>
      </w:r>
      <w:r>
        <w:t xml:space="preserve">. All rates quoted herein are exclusive of applicable Goods and Services Tax (GST) at the prevailing rate of 18%, unless otherwise stated.</w:t>
      </w:r>
    </w:p>
    <w:bookmarkEnd w:id="21"/>
    <w:bookmarkStart w:id="22" w:name="detailed-breakdown-of-librarian-services"/>
    <w:p>
      <w:pPr>
        <w:pStyle w:val="Heading2"/>
      </w:pPr>
      <w:r>
        <w:t xml:space="preserve">2. Detailed Breakdown of Librarian Services</w:t>
      </w:r>
    </w:p>
    <w:p>
      <w:pPr>
        <w:pStyle w:val="FirstParagraph"/>
      </w:pPr>
      <w:r>
        <w:t xml:space="preserve">The following table presents the itemized costs associated with the</w:t>
      </w:r>
      <w:r>
        <w:t xml:space="preserve"> </w:t>
      </w:r>
      <w:r>
        <w:t xml:space="preserve">Librarian</w:t>
      </w:r>
      <w:r>
        <w:t xml:space="preserve"> </w:t>
      </w:r>
      <w:r>
        <w:t xml:space="preserve">engagement as part of this</w:t>
      </w:r>
      <w:r>
        <w:t xml:space="preserve"> </w:t>
      </w:r>
      <w:r>
        <w:t xml:space="preserve">Quotation Estimate</w:t>
      </w:r>
      <w:r>
        <w:t xml:space="preserve"> </w:t>
      </w:r>
      <w:r>
        <w:t xml:space="preserve">for the</w:t>
      </w:r>
      <w:r>
        <w:t xml:space="preserve"> </w:t>
      </w:r>
      <w:r>
        <w:t xml:space="preserve">India Mumbai</w:t>
      </w:r>
      <w:r>
        <w:t xml:space="preserve"> </w:t>
      </w:r>
      <w:r>
        <w:t xml:space="preserve">location:</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Description of Librarian Service</w:t>
            </w:r>
          </w:p>
        </w:tc>
        <w:tc>
          <w:tcPr/>
          <w:p>
            <w:pPr>
              <w:pStyle w:val="Compact"/>
              <w:jc w:val="left"/>
            </w:pPr>
            <w:r>
              <w:t xml:space="preserve">Duration</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Recruitment and screening of a qualified Librarian (M.LIS / M.L.I.Sc. degree holder) with minimum 5 years of experience in academic or public library management in India Mumbai</w:t>
            </w:r>
          </w:p>
        </w:tc>
        <w:tc>
          <w:tcPr/>
          <w:p>
            <w:pPr>
              <w:pStyle w:val="Compact"/>
              <w:jc w:val="left"/>
            </w:pPr>
            <w:r>
              <w:t xml:space="preserve">One-time</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2</w:t>
            </w:r>
          </w:p>
        </w:tc>
        <w:tc>
          <w:tcPr/>
          <w:p>
            <w:pPr>
              <w:pStyle w:val="Compact"/>
              <w:jc w:val="left"/>
            </w:pPr>
            <w:r>
              <w:t xml:space="preserve">Monthly professional fee for the Librarian – including cataloguing, classification (Dewey Decimal / UDC), circulation management, and reference services</w:t>
            </w:r>
          </w:p>
        </w:tc>
        <w:tc>
          <w:tcPr/>
          <w:p>
            <w:pPr>
              <w:pStyle w:val="Compact"/>
              <w:jc w:val="left"/>
            </w:pPr>
            <w:r>
              <w:t xml:space="preserve">12 months</w:t>
            </w:r>
          </w:p>
        </w:tc>
        <w:tc>
          <w:tcPr/>
          <w:p>
            <w:pPr>
              <w:pStyle w:val="Compact"/>
              <w:jc w:val="left"/>
            </w:pPr>
            <w:r>
              <w:t xml:space="preserve">65,000</w:t>
            </w:r>
          </w:p>
        </w:tc>
        <w:tc>
          <w:tcPr/>
          <w:p>
            <w:pPr>
              <w:pStyle w:val="Compact"/>
              <w:jc w:val="left"/>
            </w:pPr>
            <w:r>
              <w:t xml:space="preserve">7,80,000</w:t>
            </w:r>
          </w:p>
        </w:tc>
      </w:tr>
      <w:tr>
        <w:tc>
          <w:tcPr/>
          <w:p>
            <w:pPr>
              <w:pStyle w:val="Compact"/>
              <w:jc w:val="left"/>
            </w:pPr>
            <w:r>
              <w:t xml:space="preserve">3</w:t>
            </w:r>
          </w:p>
        </w:tc>
        <w:tc>
          <w:tcPr/>
          <w:p>
            <w:pPr>
              <w:pStyle w:val="Compact"/>
              <w:jc w:val="left"/>
            </w:pPr>
            <w:r>
              <w:t xml:space="preserve">Digital library management system (LMS) setup and training for the Librarian – including Koha / Evergreen configuration, OPAC customization, and barcode integration</w:t>
            </w:r>
          </w:p>
        </w:tc>
        <w:tc>
          <w:tcPr/>
          <w:p>
            <w:pPr>
              <w:pStyle w:val="Compact"/>
              <w:jc w:val="left"/>
            </w:pPr>
            <w:r>
              <w:t xml:space="preserve">One-time</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4</w:t>
            </w:r>
          </w:p>
        </w:tc>
        <w:tc>
          <w:tcPr/>
          <w:p>
            <w:pPr>
              <w:pStyle w:val="Compact"/>
              <w:jc w:val="left"/>
            </w:pPr>
            <w:r>
              <w:t xml:space="preserve">Monthly digital resource management – e-journal access coordination, database licensing support, and digital archive maintenance by the Librarian</w:t>
            </w:r>
          </w:p>
        </w:tc>
        <w:tc>
          <w:tcPr/>
          <w:p>
            <w:pPr>
              <w:pStyle w:val="Compact"/>
              <w:jc w:val="left"/>
            </w:pPr>
            <w:r>
              <w:t xml:space="preserve">12 months</w:t>
            </w:r>
          </w:p>
        </w:tc>
        <w:tc>
          <w:tcPr/>
          <w:p>
            <w:pPr>
              <w:pStyle w:val="Compact"/>
              <w:jc w:val="left"/>
            </w:pPr>
            <w:r>
              <w:t xml:space="preserve">12,000</w:t>
            </w:r>
          </w:p>
        </w:tc>
        <w:tc>
          <w:tcPr/>
          <w:p>
            <w:pPr>
              <w:pStyle w:val="Compact"/>
              <w:jc w:val="left"/>
            </w:pPr>
            <w:r>
              <w:t xml:space="preserve">1,44,000</w:t>
            </w:r>
          </w:p>
        </w:tc>
      </w:tr>
      <w:tr>
        <w:tc>
          <w:tcPr/>
          <w:p>
            <w:pPr>
              <w:pStyle w:val="Compact"/>
              <w:jc w:val="left"/>
            </w:pPr>
            <w:r>
              <w:t xml:space="preserve">5</w:t>
            </w:r>
          </w:p>
        </w:tc>
        <w:tc>
          <w:tcPr/>
          <w:p>
            <w:pPr>
              <w:pStyle w:val="Compact"/>
              <w:jc w:val="left"/>
            </w:pPr>
            <w:r>
              <w:t xml:space="preserve">Quarterly library audit and compliance reporting by the Librarian as per UGC and NCTE guidelines applicable in India Mumbai</w:t>
            </w:r>
          </w:p>
        </w:tc>
        <w:tc>
          <w:tcPr/>
          <w:p>
            <w:pPr>
              <w:pStyle w:val="Compact"/>
              <w:jc w:val="left"/>
            </w:pPr>
            <w:r>
              <w:t xml:space="preserve">4 quarters</w:t>
            </w:r>
          </w:p>
        </w:tc>
        <w:tc>
          <w:tcPr/>
          <w:p>
            <w:pPr>
              <w:pStyle w:val="Compact"/>
              <w:jc w:val="left"/>
            </w:pPr>
            <w:r>
              <w:t xml:space="preserve">15,000</w:t>
            </w:r>
          </w:p>
        </w:tc>
        <w:tc>
          <w:tcPr/>
          <w:p>
            <w:pPr>
              <w:pStyle w:val="Compact"/>
              <w:jc w:val="left"/>
            </w:pPr>
            <w:r>
              <w:t xml:space="preserve">60,000</w:t>
            </w:r>
          </w:p>
        </w:tc>
      </w:tr>
      <w:tr>
        <w:tc>
          <w:tcPr/>
          <w:p>
            <w:pPr>
              <w:pStyle w:val="Compact"/>
              <w:jc w:val="left"/>
            </w:pPr>
            <w:r>
              <w:t xml:space="preserve">6</w:t>
            </w:r>
          </w:p>
        </w:tc>
        <w:tc>
          <w:tcPr/>
          <w:p>
            <w:pPr>
              <w:pStyle w:val="Compact"/>
              <w:jc w:val="left"/>
            </w:pPr>
            <w:r>
              <w:t xml:space="preserve">Annual professional development and continuing education for the Librarian – workshops, IFLA conferences, and library science seminars in India Mumbai</w:t>
            </w:r>
          </w:p>
        </w:tc>
        <w:tc>
          <w:tcPr/>
          <w:p>
            <w:pPr>
              <w:pStyle w:val="Compact"/>
              <w:jc w:val="left"/>
            </w:pPr>
            <w:r>
              <w:t xml:space="preserve">12 months</w:t>
            </w:r>
          </w:p>
        </w:tc>
        <w:tc>
          <w:tcPr/>
          <w:p>
            <w:pPr>
              <w:pStyle w:val="Compact"/>
              <w:jc w:val="left"/>
            </w:pPr>
            <w:r>
              <w:t xml:space="preserve">8,000</w:t>
            </w:r>
          </w:p>
        </w:tc>
        <w:tc>
          <w:tcPr/>
          <w:p>
            <w:pPr>
              <w:pStyle w:val="Compact"/>
              <w:jc w:val="left"/>
            </w:pPr>
            <w:r>
              <w:t xml:space="preserve">96,000</w:t>
            </w:r>
          </w:p>
        </w:tc>
      </w:tr>
      <w:tr>
        <w:tc>
          <w:tcPr/>
          <w:p>
            <w:pPr>
              <w:pStyle w:val="Compact"/>
              <w:jc w:val="left"/>
            </w:pPr>
            <w:r>
              <w:t xml:space="preserve">7</w:t>
            </w:r>
          </w:p>
        </w:tc>
        <w:tc>
          <w:tcPr/>
          <w:p>
            <w:pPr>
              <w:pStyle w:val="Compact"/>
              <w:jc w:val="left"/>
            </w:pPr>
            <w:r>
              <w:t xml:space="preserve">Statutory compliance – PF, ESI, and professional indemnity insurance for the Librarian as mandated under Indian labour laws</w:t>
            </w:r>
          </w:p>
        </w:tc>
        <w:tc>
          <w:tcPr/>
          <w:p>
            <w:pPr>
              <w:pStyle w:val="Compact"/>
              <w:jc w:val="left"/>
            </w:pPr>
            <w:r>
              <w:t xml:space="preserve">12 months</w:t>
            </w:r>
          </w:p>
        </w:tc>
        <w:tc>
          <w:tcPr/>
          <w:p>
            <w:pPr>
              <w:pStyle w:val="Compact"/>
              <w:jc w:val="left"/>
            </w:pPr>
            <w:r>
              <w:t xml:space="preserve">10,000</w:t>
            </w:r>
          </w:p>
        </w:tc>
        <w:tc>
          <w:tcPr/>
          <w:p>
            <w:pPr>
              <w:pStyle w:val="Compact"/>
              <w:jc w:val="left"/>
            </w:pPr>
            <w:r>
              <w:t xml:space="preserve">1,20,000</w:t>
            </w:r>
          </w:p>
        </w:tc>
      </w:tr>
      <w:tr>
        <w:tc>
          <w:tcPr/>
          <w:p>
            <w:pPr>
              <w:pStyle w:val="Compact"/>
              <w:jc w:val="left"/>
            </w:pPr>
            <w:r>
              <w:t xml:space="preserve">8</w:t>
            </w:r>
          </w:p>
        </w:tc>
        <w:tc>
          <w:tcPr/>
          <w:p>
            <w:pPr>
              <w:pStyle w:val="Compact"/>
              <w:jc w:val="left"/>
            </w:pPr>
            <w:r>
              <w:t xml:space="preserve">Local transportation allowance for the Librarian commuting within the India Mumbai metropolitan area (Nariman Point to Andheri West corridor)</w:t>
            </w:r>
          </w:p>
        </w:tc>
        <w:tc>
          <w:tcPr/>
          <w:p>
            <w:pPr>
              <w:pStyle w:val="Compact"/>
              <w:jc w:val="left"/>
            </w:pPr>
            <w:r>
              <w:t xml:space="preserve">12 months</w:t>
            </w:r>
          </w:p>
        </w:tc>
        <w:tc>
          <w:tcPr/>
          <w:p>
            <w:pPr>
              <w:pStyle w:val="Compact"/>
              <w:jc w:val="left"/>
            </w:pPr>
            <w:r>
              <w:t xml:space="preserve">5,000</w:t>
            </w:r>
          </w:p>
        </w:tc>
        <w:tc>
          <w:tcPr/>
          <w:p>
            <w:pPr>
              <w:pStyle w:val="Compact"/>
              <w:jc w:val="left"/>
            </w:pPr>
            <w:r>
              <w:t xml:space="preserve">60,000</w:t>
            </w:r>
          </w:p>
        </w:tc>
      </w:tr>
      <w:tr>
        <w:tc>
          <w:tcPr>
            <w:gridSpan w:val="4"/>
          </w:tcPr>
          <w:p>
            <w:pPr>
              <w:pStyle w:val="Compact"/>
              <w:jc w:val="right"/>
            </w:pPr>
            <w:r>
              <w:t xml:space="preserve">Subtotal (Excluding GST)</w:t>
            </w:r>
          </w:p>
        </w:tc>
        <w:tc>
          <w:tcPr/>
          <w:p>
            <w:pPr>
              <w:pStyle w:val="Compact"/>
              <w:jc w:val="left"/>
            </w:pPr>
            <w:r>
              <w:t xml:space="preserve">13,50,000</w:t>
            </w:r>
          </w:p>
        </w:tc>
      </w:tr>
      <w:tr>
        <w:tc>
          <w:tcPr>
            <w:gridSpan w:val="4"/>
          </w:tcPr>
          <w:p>
            <w:pPr>
              <w:pStyle w:val="Compact"/>
              <w:jc w:val="right"/>
            </w:pPr>
            <w:r>
              <w:t xml:space="preserve">GST @ 18%</w:t>
            </w:r>
          </w:p>
        </w:tc>
        <w:tc>
          <w:tcPr/>
          <w:p>
            <w:pPr>
              <w:pStyle w:val="Compact"/>
              <w:jc w:val="left"/>
            </w:pPr>
            <w:r>
              <w:t xml:space="preserve">2,43,000</w:t>
            </w:r>
          </w:p>
        </w:tc>
      </w:tr>
      <w:tr>
        <w:tc>
          <w:tcPr>
            <w:gridSpan w:val="4"/>
          </w:tcPr>
          <w:p>
            <w:pPr>
              <w:pStyle w:val="Compact"/>
              <w:jc w:val="right"/>
            </w:pPr>
            <w:r>
              <w:t xml:space="preserve">Grand Total (INR)</w:t>
            </w:r>
          </w:p>
        </w:tc>
        <w:tc>
          <w:tcPr/>
          <w:p>
            <w:pPr>
              <w:pStyle w:val="Compact"/>
              <w:jc w:val="left"/>
            </w:pPr>
            <w:r>
              <w:t xml:space="preserve">15,93,000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3.1</w:t>
      </w:r>
      <w:r>
        <w:t xml:space="preserve"> </w:t>
      </w:r>
      <w:r>
        <w:t xml:space="preserve">This</w:t>
      </w:r>
      <w:r>
        <w:t xml:space="preserve"> </w:t>
      </w:r>
      <w:r>
        <w:t xml:space="preserve">Quotation Estimate</w:t>
      </w:r>
      <w:r>
        <w:t xml:space="preserve"> </w:t>
      </w:r>
      <w:r>
        <w:t xml:space="preserve">is valid for a period of thirty (30) calendar days from the date of issue. Beyond this period, the rates for the</w:t>
      </w:r>
      <w:r>
        <w:t xml:space="preserve"> </w:t>
      </w:r>
      <w:r>
        <w:t xml:space="preserve">Librarian</w:t>
      </w:r>
      <w:r>
        <w:t xml:space="preserve"> </w:t>
      </w:r>
      <w:r>
        <w:t xml:space="preserve">engagement may be revised to reflect prevailing market conditions in</w:t>
      </w:r>
      <w:r>
        <w:t xml:space="preserve"> </w:t>
      </w:r>
      <w:r>
        <w:t xml:space="preserve">India Mumbai</w:t>
      </w:r>
      <w:r>
        <w:t xml:space="preserve">.</w:t>
      </w:r>
    </w:p>
    <w:p>
      <w:pPr>
        <w:numPr>
          <w:ilvl w:val="0"/>
          <w:numId w:val="1001"/>
        </w:numPr>
        <w:pStyle w:val="Compact"/>
      </w:pPr>
      <w:r>
        <w:rPr>
          <w:bCs/>
          <w:b/>
        </w:rPr>
        <w:t xml:space="preserve">3.2</w:t>
      </w:r>
      <w:r>
        <w:t xml:space="preserve"> </w:t>
      </w:r>
      <w:r>
        <w:t xml:space="preserve">Payment terms: 40% advance upon acceptance of this</w:t>
      </w:r>
      <w:r>
        <w:t xml:space="preserve"> </w:t>
      </w:r>
      <w:r>
        <w:t xml:space="preserve">Quotation Estimate</w:t>
      </w:r>
      <w:r>
        <w:t xml:space="preserve">, 40% upon successful onboarding of the</w:t>
      </w:r>
      <w:r>
        <w:t xml:space="preserve"> </w:t>
      </w:r>
      <w:r>
        <w:t xml:space="preserve">Librarian</w:t>
      </w:r>
      <w:r>
        <w:t xml:space="preserve">, and the remaining 20% upon completion of the first quarter of service delivery.</w:t>
      </w:r>
    </w:p>
    <w:p>
      <w:pPr>
        <w:numPr>
          <w:ilvl w:val="0"/>
          <w:numId w:val="1001"/>
        </w:numPr>
        <w:pStyle w:val="Compact"/>
      </w:pPr>
      <w:r>
        <w:rPr>
          <w:bCs/>
          <w:b/>
        </w:rPr>
        <w:t xml:space="preserve">3.3</w:t>
      </w:r>
      <w:r>
        <w:t xml:space="preserve"> </w:t>
      </w:r>
      <w:r>
        <w:t xml:space="preserve">The</w:t>
      </w:r>
      <w:r>
        <w:t xml:space="preserve"> </w:t>
      </w:r>
      <w:r>
        <w:t xml:space="preserve">Librarian</w:t>
      </w:r>
      <w:r>
        <w:t xml:space="preserve"> </w:t>
      </w:r>
      <w:r>
        <w:t xml:space="preserve">shall work a standard 48-hour work week (Monday to Saturday, 9:00 AM to 5:30 PM) at the client's premises in</w:t>
      </w:r>
      <w:r>
        <w:t xml:space="preserve"> </w:t>
      </w:r>
      <w:r>
        <w:t xml:space="preserve">India Mumbai</w:t>
      </w:r>
      <w:r>
        <w:t xml:space="preserve">, unless mutually agreed otherwise in writing.</w:t>
      </w:r>
    </w:p>
    <w:p>
      <w:pPr>
        <w:numPr>
          <w:ilvl w:val="0"/>
          <w:numId w:val="1001"/>
        </w:numPr>
        <w:pStyle w:val="Compact"/>
      </w:pPr>
      <w:r>
        <w:rPr>
          <w:bCs/>
          <w:b/>
        </w:rPr>
        <w:t xml:space="preserve">3.4</w:t>
      </w:r>
      <w:r>
        <w:t xml:space="preserve"> </w:t>
      </w:r>
      <w:r>
        <w:t xml:space="preserve">All statutory deductions including Professional Tax (as applicable in Maharashtra state, India Mumbai), TDS under Section 192 of the Income Tax Act, 1961, shall be borne by the client as per Indian tax regulations.</w:t>
      </w:r>
    </w:p>
    <w:p>
      <w:pPr>
        <w:numPr>
          <w:ilvl w:val="0"/>
          <w:numId w:val="1001"/>
        </w:numPr>
        <w:pStyle w:val="Compact"/>
      </w:pPr>
      <w:r>
        <w:rPr>
          <w:bCs/>
          <w:b/>
        </w:rPr>
        <w:t xml:space="preserve">3.5</w:t>
      </w:r>
      <w:r>
        <w:t xml:space="preserve"> </w:t>
      </w:r>
      <w:r>
        <w:t xml:space="preserve">The</w:t>
      </w:r>
      <w:r>
        <w:t xml:space="preserve"> </w:t>
      </w:r>
      <w:r>
        <w:t xml:space="preserve">Librarian</w:t>
      </w:r>
      <w:r>
        <w:t xml:space="preserve"> </w:t>
      </w:r>
      <w:r>
        <w:t xml:space="preserve">shall be bound by a non-disclosure and intellectual property agreement specific to the client's institutional collection. This clause is integral to this</w:t>
      </w:r>
      <w:r>
        <w:t xml:space="preserve"> </w:t>
      </w:r>
      <w:r>
        <w:t xml:space="preserve">Quotation Estimate</w:t>
      </w:r>
      <w:r>
        <w:t xml:space="preserve">.</w:t>
      </w:r>
    </w:p>
    <w:p>
      <w:pPr>
        <w:numPr>
          <w:ilvl w:val="0"/>
          <w:numId w:val="1001"/>
        </w:numPr>
        <w:pStyle w:val="Compact"/>
      </w:pPr>
      <w:r>
        <w:rPr>
          <w:bCs/>
          <w:b/>
        </w:rPr>
        <w:t xml:space="preserve">3.6</w:t>
      </w:r>
      <w:r>
        <w:t xml:space="preserve"> </w:t>
      </w:r>
      <w:r>
        <w:t xml:space="preserve">Any additional services beyond the scope defined in this</w:t>
      </w:r>
      <w:r>
        <w:t xml:space="preserve"> </w:t>
      </w:r>
      <w:r>
        <w:t xml:space="preserve">Quotation Estimate</w:t>
      </w:r>
      <w:r>
        <w:t xml:space="preserve"> </w:t>
      </w:r>
      <w:r>
        <w:t xml:space="preserve">shall be subject to a separate written amendment and additional cost assessment.</w:t>
      </w:r>
    </w:p>
    <w:p>
      <w:pPr>
        <w:numPr>
          <w:ilvl w:val="0"/>
          <w:numId w:val="1001"/>
        </w:numPr>
        <w:pStyle w:val="Compact"/>
      </w:pPr>
      <w:r>
        <w:rPr>
          <w:bCs/>
          <w:b/>
        </w:rPr>
        <w:t xml:space="preserve">3.7</w:t>
      </w:r>
      <w:r>
        <w:t xml:space="preserve"> </w:t>
      </w:r>
      <w:r>
        <w:t xml:space="preserve">Disputes arising from this</w:t>
      </w:r>
      <w:r>
        <w:t xml:space="preserve"> </w:t>
      </w:r>
      <w:r>
        <w:t xml:space="preserve">Quotation Estimate</w:t>
      </w:r>
      <w:r>
        <w:t xml:space="preserve"> </w:t>
      </w:r>
      <w:r>
        <w:t xml:space="preserve">shall be resolved through arbitration in</w:t>
      </w:r>
      <w:r>
        <w:t xml:space="preserve"> </w:t>
      </w:r>
      <w:r>
        <w:t xml:space="preserve">India Mumbai</w:t>
      </w:r>
      <w:r>
        <w:t xml:space="preserve"> </w:t>
      </w:r>
      <w:r>
        <w:t xml:space="preserve">in accordance with the Arbitration and Conciliation Act, 1996.</w:t>
      </w:r>
    </w:p>
    <w:p>
      <w:pPr>
        <w:numPr>
          <w:ilvl w:val="0"/>
          <w:numId w:val="1001"/>
        </w:numPr>
        <w:pStyle w:val="Compact"/>
      </w:pPr>
      <w:r>
        <w:rPr>
          <w:bCs/>
          <w:b/>
        </w:rPr>
        <w:t xml:space="preserve">3.8</w:t>
      </w:r>
      <w:r>
        <w:t xml:space="preserve"> </w:t>
      </w:r>
      <w:r>
        <w:t xml:space="preserve">The</w:t>
      </w:r>
      <w:r>
        <w:t xml:space="preserve"> </w:t>
      </w:r>
      <w:r>
        <w:t xml:space="preserve">Librarian</w:t>
      </w:r>
      <w:r>
        <w:t xml:space="preserve"> </w:t>
      </w:r>
      <w:r>
        <w:t xml:space="preserve">shall maintain professional membership with the Indian Library Association (ILA) and the Maharashtra State Library Association throughout the engagement period.</w:t>
      </w:r>
    </w:p>
    <w:bookmarkEnd w:id="23"/>
    <w:bookmarkStart w:id="24" w:name="acceptance-and-authorization"/>
    <w:p>
      <w:pPr>
        <w:pStyle w:val="Heading2"/>
      </w:pPr>
      <w:r>
        <w:t xml:space="preserve">4. Acceptance and Authorization</w:t>
      </w:r>
    </w:p>
    <w:p>
      <w:pPr>
        <w:pStyle w:val="FirstParagraph"/>
      </w:pPr>
      <w:r>
        <w:t xml:space="preserve">By signing below, the client acknowledges and accepts this</w:t>
      </w:r>
      <w:r>
        <w:t xml:space="preserve"> </w:t>
      </w:r>
      <w:r>
        <w:t xml:space="preserve">Quotation Estimate</w:t>
      </w:r>
      <w:r>
        <w:t xml:space="preserve"> </w:t>
      </w:r>
      <w:r>
        <w:t xml:space="preserve">for the</w:t>
      </w:r>
      <w:r>
        <w:t xml:space="preserve"> </w:t>
      </w:r>
      <w:r>
        <w:t xml:space="preserve">Librarian</w:t>
      </w:r>
      <w:r>
        <w:t xml:space="preserve"> </w:t>
      </w:r>
      <w:r>
        <w:t xml:space="preserve">services as described herein, to be delivered at the designated location in</w:t>
      </w:r>
      <w:r>
        <w:t xml:space="preserve"> </w:t>
      </w:r>
      <w:r>
        <w:t xml:space="preserve">India Mumbai</w:t>
      </w:r>
      <w:r>
        <w:t xml:space="preserve">. This document, once countersigned by both parties, shall constitute a binding service agreement.</w:t>
      </w:r>
    </w:p>
    <w:p>
      <w:pPr>
        <w:pStyle w:val="BodyText"/>
      </w:pPr>
      <w:r>
        <w:rPr>
          <w:bCs/>
          <w:b/>
        </w:rPr>
        <w:t xml:space="preserve">For KnowledgeBridge Professional Services Pvt. Ltd.</w:t>
      </w:r>
      <w:r>
        <w:br/>
      </w:r>
      <w:r>
        <w:t xml:space="preserve">Authorized Signatory</w:t>
      </w:r>
      <w:r>
        <w:br/>
      </w:r>
      <w:r>
        <w:t xml:space="preserve">Name: Rajesh Patil, Director</w:t>
      </w:r>
      <w:r>
        <w:br/>
      </w:r>
      <w:r>
        <w:t xml:space="preserve">Date: _______________</w:t>
      </w:r>
    </w:p>
    <w:p>
      <w:pPr>
        <w:pStyle w:val="BodyText"/>
      </w:pPr>
      <w:r>
        <w:t xml:space="preserve">[Company Seal / Stamp]</w:t>
      </w:r>
    </w:p>
    <w:p>
      <w:pPr>
        <w:pStyle w:val="BodyText"/>
      </w:pPr>
      <w:r>
        <w:rPr>
          <w:bCs/>
          <w:b/>
        </w:rPr>
        <w:t xml:space="preserve">For M/s. Sharda Educational Trust</w:t>
      </w:r>
      <w:r>
        <w:br/>
      </w:r>
      <w:r>
        <w:t xml:space="preserve">Authorized Signatory</w:t>
      </w:r>
      <w:r>
        <w:br/>
      </w:r>
      <w:r>
        <w:t xml:space="preserve">Name: Dr. Meera Kulkarni</w:t>
      </w:r>
      <w:r>
        <w:br/>
      </w:r>
      <w:r>
        <w:t xml:space="preserve">Date: _______________</w:t>
      </w:r>
    </w:p>
    <w:p>
      <w:pPr>
        <w:pStyle w:val="BodyText"/>
      </w:pPr>
      <w:r>
        <w:t xml:space="preserve">[Institutional Seal / Stamp]</w:t>
      </w:r>
    </w:p>
    <w:p>
      <w:pPr>
        <w:pStyle w:val="BodyText"/>
      </w:pPr>
      <w:r>
        <w:t xml:space="preserve">This Quotation Estimate document was prepared and issued in India Mumbai. All monetary values are in Indian Rupees (INR). This document is the property of KnowledgeBridge Professional Services Pvt. Ltd. and shall not be reproduced without written consent. Quotation Estimate No. KB/2025/0472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Librarian Services - India Mumbai</dc:title>
  <dc:creator/>
  <dc:language>en</dc:language>
  <cp:keywords/>
  <dcterms:created xsi:type="dcterms:W3CDTF">2026-10-10T02:31:10Z</dcterms:created>
  <dcterms:modified xsi:type="dcterms:W3CDTF">2026-10-10T02:31:10Z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