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quotation-estimate"/>
    <w:p>
      <w:pPr>
        <w:pStyle w:val="Heading1"/>
      </w:pPr>
      <w:r>
        <w:t xml:space="preserve">QUOTATION ESTIMATE</w:t>
      </w:r>
    </w:p>
    <w:p>
      <w:pPr>
        <w:pStyle w:val="FirstParagraph"/>
      </w:pPr>
      <w:r>
        <w:t xml:space="preserve">Professional Librarian Services — New Delhi, India</w:t>
      </w:r>
    </w:p>
    <w:bookmarkEnd w:id="20"/>
    <w:bookmarkStart w:id="21" w:name="service-provider"/>
    <w:p>
      <w:pPr>
        <w:pStyle w:val="Heading3"/>
      </w:pPr>
      <w:r>
        <w:t xml:space="preserve">Service Provider</w:t>
      </w:r>
    </w:p>
    <w:p>
      <w:pPr>
        <w:pStyle w:val="FirstParagraph"/>
      </w:pPr>
      <w:r>
        <w:rPr>
          <w:bCs/>
          <w:b/>
        </w:rPr>
        <w:t xml:space="preserve">Delhi Knowledge Solutions Pvt. Ltd.</w:t>
      </w:r>
    </w:p>
    <w:p>
      <w:pPr>
        <w:pStyle w:val="BodyText"/>
      </w:pPr>
      <w:r>
        <w:t xml:space="preserve">42, Connaught Place, New Delhi, India – 110001</w:t>
      </w:r>
    </w:p>
    <w:p>
      <w:pPr>
        <w:pStyle w:val="BodyText"/>
      </w:pPr>
      <w:r>
        <w:t xml:space="preserve">Tel: +91-11-4567-8900</w:t>
      </w:r>
    </w:p>
    <w:p>
      <w:pPr>
        <w:pStyle w:val="BodyText"/>
      </w:pPr>
      <w:r>
        <w:t xml:space="preserve">Email: quotes@delhiknowledgesolutions.in</w:t>
      </w:r>
    </w:p>
    <w:p>
      <w:pPr>
        <w:pStyle w:val="BodyText"/>
      </w:pPr>
      <w:r>
        <w:t xml:space="preserve">GSTIN: 07AABCD1234E1Z5</w:t>
      </w:r>
    </w:p>
    <w:bookmarkEnd w:id="21"/>
    <w:bookmarkStart w:id="22" w:name="client-recipient"/>
    <w:p>
      <w:pPr>
        <w:pStyle w:val="Heading3"/>
      </w:pPr>
      <w:r>
        <w:t xml:space="preserve">Client / Recipient</w:t>
      </w:r>
    </w:p>
    <w:p>
      <w:pPr>
        <w:pStyle w:val="FirstParagraph"/>
      </w:pPr>
      <w:r>
        <w:rPr>
          <w:bCs/>
          <w:b/>
        </w:rPr>
        <w:t xml:space="preserve">Shri Rajesh Malhotra</w:t>
      </w:r>
    </w:p>
    <w:p>
      <w:pPr>
        <w:pStyle w:val="BodyText"/>
      </w:pPr>
      <w:r>
        <w:t xml:space="preserve">Director, Malhotra Educational Trust</w:t>
      </w:r>
    </w:p>
    <w:p>
      <w:pPr>
        <w:pStyle w:val="BodyText"/>
      </w:pPr>
      <w:r>
        <w:t xml:space="preserve">18, Hauz Khas Village, New Delhi, India – 110016</w:t>
      </w:r>
    </w:p>
    <w:p>
      <w:pPr>
        <w:pStyle w:val="BodyText"/>
      </w:pPr>
      <w:r>
        <w:t xml:space="preserve">Tel: +91-98110-23456</w:t>
      </w:r>
    </w:p>
    <w:p>
      <w:pPr>
        <w:pStyle w:val="BodyText"/>
      </w:pPr>
      <w:r>
        <w:t xml:space="preserve">Email: r.malhotra@metrust.in</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DKS/QE/2025/0472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c>
          <w:tcPr/>
          <w:p>
            <w:pPr>
              <w:pStyle w:val="Compact"/>
              <w:jc w:val="left"/>
            </w:pPr>
            <w:r>
              <w:t xml:space="preserve">Location of Service:</w:t>
            </w:r>
          </w:p>
        </w:tc>
        <w:tc>
          <w:tcPr/>
          <w:p>
            <w:pPr>
              <w:pStyle w:val="Compact"/>
              <w:jc w:val="left"/>
            </w:pPr>
            <w:r>
              <w:t xml:space="preserve">New Delhi, India</w:t>
            </w:r>
          </w:p>
        </w:tc>
      </w:tr>
      <w:tr>
        <w:tc>
          <w:tcPr/>
          <w:p>
            <w:pPr>
              <w:pStyle w:val="Compact"/>
              <w:jc w:val="left"/>
            </w:pPr>
            <w:r>
              <w:t xml:space="preserve">Prepared By:</w:t>
            </w:r>
          </w:p>
        </w:tc>
        <w:tc>
          <w:tcPr/>
          <w:p>
            <w:pPr>
              <w:pStyle w:val="Compact"/>
              <w:jc w:val="left"/>
            </w:pPr>
            <w:r>
              <w:t xml:space="preserve">Ms. Ananya Sharma, Account Manager</w:t>
            </w:r>
          </w:p>
        </w:tc>
        <w:tc>
          <w:tcPr/>
          <w:p>
            <w:pPr>
              <w:pStyle w:val="Compact"/>
              <w:jc w:val="left"/>
            </w:pPr>
            <w:r>
              <w:t xml:space="preserve">Payment Currency:</w:t>
            </w:r>
          </w:p>
        </w:tc>
        <w:tc>
          <w:tcPr/>
          <w:p>
            <w:pPr>
              <w:pStyle w:val="Compact"/>
              <w:jc w:val="left"/>
            </w:pPr>
            <w:r>
              <w:t xml:space="preserve">Indian Rupee (INR / ’)</w:t>
            </w:r>
          </w:p>
        </w:tc>
      </w:tr>
    </w:tbl>
    <w:bookmarkStart w:id="23"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Delhi Knowledge Solutions Pvt. Ltd. to provide a comprehensive and transparent cost breakdown for the engagement of a qualified</w:t>
      </w:r>
      <w:r>
        <w:t xml:space="preserve"> </w:t>
      </w:r>
      <w:r>
        <w:t xml:space="preserve">Librarian</w:t>
      </w:r>
      <w:r>
        <w:t xml:space="preserve"> </w:t>
      </w:r>
      <w:r>
        <w:t xml:space="preserve">professional to be deployed at the client’s premises in</w:t>
      </w:r>
      <w:r>
        <w:t xml:space="preserve"> </w:t>
      </w:r>
      <w:r>
        <w:t xml:space="preserve">New Delhi, India</w:t>
      </w:r>
      <w:r>
        <w:t xml:space="preserve">. The purpose of this document is to outline the scope of services, associated costs, payment terms, and conditions governing the professional Librarian engagement. All figures presented herein are quoted in Indian Rupees (INR) and are subject to the prevailing Goods and Services Tax (GST) applicable in the National Capital Territory of Delhi, India.</w:t>
      </w:r>
    </w:p>
    <w:p>
      <w:pPr>
        <w:pStyle w:val="BodyText"/>
      </w:pPr>
      <w:r>
        <w:t xml:space="preserve">We understand that a skilled Librarian is an indispensable asset for any educational institution, corporate research centre, or private collection in New Delhi. Our commitment is to deliver a Librarian who possesses not only academic credentials but also practical expertise in cataloguing, digital archiving, reader services, and collection management tailored to the specific needs of the client’s facility in New Delhi, India.</w:t>
      </w:r>
    </w:p>
    <w:bookmarkEnd w:id="23"/>
    <w:bookmarkStart w:id="24" w:name="scope-of-librarian-services"/>
    <w:p>
      <w:pPr>
        <w:pStyle w:val="Heading2"/>
      </w:pPr>
      <w:r>
        <w:t xml:space="preserve">2. Scope of Librarian Services</w:t>
      </w:r>
    </w:p>
    <w:p>
      <w:pPr>
        <w:pStyle w:val="FirstParagraph"/>
      </w:pPr>
      <w:r>
        <w:t xml:space="preserve">The following services are encompassed within this Quotation Estimate for the Librarian role to be performed at the designated location in New Delhi, India:</w:t>
      </w:r>
    </w:p>
    <w:p>
      <w:pPr>
        <w:numPr>
          <w:ilvl w:val="0"/>
          <w:numId w:val="1001"/>
        </w:numPr>
        <w:pStyle w:val="Compact"/>
      </w:pPr>
      <w:r>
        <w:rPr>
          <w:bCs/>
          <w:b/>
        </w:rPr>
        <w:t xml:space="preserve">Collection Management:</w:t>
      </w:r>
      <w:r>
        <w:t xml:space="preserve"> </w:t>
      </w:r>
      <w:r>
        <w:t xml:space="preserve">Acquisition, cataloguing, classification (using DDC or LCC systems), and systematic organisation of physical and digital library resources including books, journals, theses, microforms, and electronic databases.</w:t>
      </w:r>
    </w:p>
    <w:p>
      <w:pPr>
        <w:numPr>
          <w:ilvl w:val="0"/>
          <w:numId w:val="1001"/>
        </w:numPr>
        <w:pStyle w:val="Compact"/>
      </w:pPr>
      <w:r>
        <w:rPr>
          <w:bCs/>
          <w:b/>
        </w:rPr>
        <w:t xml:space="preserve">Reader and Patron Services:</w:t>
      </w:r>
      <w:r>
        <w:t xml:space="preserve"> </w:t>
      </w:r>
      <w:r>
        <w:t xml:space="preserve">Assisting students, researchers, and staff in locating materials, conducting reference interviews, managing inter-library loan requests, and providing guidance on information retrieval strategies.</w:t>
      </w:r>
    </w:p>
    <w:p>
      <w:pPr>
        <w:numPr>
          <w:ilvl w:val="0"/>
          <w:numId w:val="1001"/>
        </w:numPr>
        <w:pStyle w:val="Compact"/>
      </w:pPr>
      <w:r>
        <w:rPr>
          <w:bCs/>
          <w:b/>
        </w:rPr>
        <w:t xml:space="preserve">Digital Library Operations:</w:t>
      </w:r>
      <w:r>
        <w:t xml:space="preserve"> </w:t>
      </w:r>
      <w:r>
        <w:t xml:space="preserve">Managing the institution’s digital repository, overseeing e-journal subscriptions, maintaining the Integrated Library Management System (ILMS), and ensuring seamless access to online databases.</w:t>
      </w:r>
    </w:p>
    <w:p>
      <w:pPr>
        <w:numPr>
          <w:ilvl w:val="0"/>
          <w:numId w:val="1001"/>
        </w:numPr>
        <w:pStyle w:val="Compact"/>
      </w:pPr>
      <w:r>
        <w:rPr>
          <w:bCs/>
          <w:b/>
        </w:rPr>
        <w:t xml:space="preserve">Archival and Preservation:</w:t>
      </w:r>
      <w:r>
        <w:t xml:space="preserve"> </w:t>
      </w:r>
      <w:r>
        <w:t xml:space="preserve">Implementing conservation protocols for rare and fragile materials, digitising legacy collections, and maintaining climate-controlled storage conditions appropriate for the New Delhi climate.</w:t>
      </w:r>
    </w:p>
    <w:p>
      <w:pPr>
        <w:numPr>
          <w:ilvl w:val="0"/>
          <w:numId w:val="1001"/>
        </w:numPr>
        <w:pStyle w:val="Compact"/>
      </w:pPr>
      <w:r>
        <w:rPr>
          <w:bCs/>
          <w:b/>
        </w:rPr>
        <w:t xml:space="preserve">Programming and Outreach:</w:t>
      </w:r>
      <w:r>
        <w:t xml:space="preserve"> </w:t>
      </w:r>
      <w:r>
        <w:t xml:space="preserve">Designing and executing reading programmes, information literacy workshops, author talks, and community engagement events in coordination with the client’s academic calendar.</w:t>
      </w:r>
    </w:p>
    <w:p>
      <w:pPr>
        <w:numPr>
          <w:ilvl w:val="0"/>
          <w:numId w:val="1001"/>
        </w:numPr>
        <w:pStyle w:val="Compact"/>
      </w:pPr>
      <w:r>
        <w:rPr>
          <w:bCs/>
          <w:b/>
        </w:rPr>
        <w:t xml:space="preserve">Reporting and Administration:</w:t>
      </w:r>
      <w:r>
        <w:t xml:space="preserve"> </w:t>
      </w:r>
      <w:r>
        <w:t xml:space="preserve">Preparing monthly circulation reports, budget utilisation statements, and annual collection development plans for review by the client’s governing body in New Delhi.</w:t>
      </w:r>
    </w:p>
    <w:bookmarkEnd w:id="24"/>
    <w:bookmarkStart w:id="25" w:name="X01a9f4bfb5c7062aac9eba75f410700a60f768c"/>
    <w:p>
      <w:pPr>
        <w:pStyle w:val="Heading2"/>
      </w:pPr>
      <w:r>
        <w:t xml:space="preserve">3. Professional Qualifications of the Librarian</w:t>
      </w:r>
    </w:p>
    <w:p>
      <w:pPr>
        <w:pStyle w:val="FirstParagraph"/>
      </w:pPr>
      <w:r>
        <w:t xml:space="preserve">The Librarian proposed under this Quotation Estimate shall hold a minimum of a Master of Library and Information Science (M.L.I.Sc.) degree from a UGC-recognised university in India, with a minimum of five (5) years of progressive experience in academic or corporate library settings. Proficiency in English and Hindi is mandatory, and working knowledge of additional Indian languages (Punjabi, Marathi, or Tamil) shall be considered an added advantage. The Librarian must be a resident of or willing to relocate to New Delhi, India, and must possess a valid background verification certificate.</w:t>
      </w:r>
    </w:p>
    <w:bookmarkEnd w:id="25"/>
    <w:bookmarkStart w:id="26" w:name="financial-breakdown-quotation-estimate"/>
    <w:p>
      <w:pPr>
        <w:pStyle w:val="Heading2"/>
      </w:pPr>
      <w:r>
        <w:t xml:space="preserve">4. Financial Breakdown —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Service / Item Description</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Monthly Professional Fee — Senior Librarian (Full-time, 40 hrs/week)</w:t>
            </w:r>
          </w:p>
        </w:tc>
        <w:tc>
          <w:tcPr/>
          <w:p>
            <w:pPr>
              <w:pStyle w:val="Compact"/>
              <w:jc w:val="left"/>
            </w:pPr>
            <w:r>
              <w:t xml:space="preserve">12 months</w:t>
            </w:r>
          </w:p>
        </w:tc>
        <w:tc>
          <w:tcPr/>
          <w:p>
            <w:pPr>
              <w:pStyle w:val="Compact"/>
              <w:jc w:val="left"/>
            </w:pPr>
            <w:r>
              <w:t xml:space="preserve">’ 95,000 / month</w:t>
            </w:r>
          </w:p>
        </w:tc>
        <w:tc>
          <w:tcPr/>
          <w:p>
            <w:pPr>
              <w:pStyle w:val="Compact"/>
              <w:jc w:val="left"/>
            </w:pPr>
            <w:r>
              <w:t xml:space="preserve">’ 11,40,000</w:t>
            </w:r>
          </w:p>
        </w:tc>
      </w:tr>
      <w:tr>
        <w:tc>
          <w:tcPr/>
          <w:p>
            <w:pPr>
              <w:pStyle w:val="Compact"/>
              <w:jc w:val="left"/>
            </w:pPr>
            <w:r>
              <w:t xml:space="preserve">2</w:t>
            </w:r>
          </w:p>
        </w:tc>
        <w:tc>
          <w:tcPr/>
          <w:p>
            <w:pPr>
              <w:pStyle w:val="Compact"/>
              <w:jc w:val="left"/>
            </w:pPr>
            <w:r>
              <w:t xml:space="preserve">ILMS Software Licence &amp; Annual Maintenance (Koha / Evergreen)</w:t>
            </w:r>
          </w:p>
        </w:tc>
        <w:tc>
          <w:tcPr/>
          <w:p>
            <w:pPr>
              <w:pStyle w:val="Compact"/>
              <w:jc w:val="left"/>
            </w:pPr>
            <w:r>
              <w:t xml:space="preserve">12 months</w:t>
            </w:r>
          </w:p>
        </w:tc>
        <w:tc>
          <w:tcPr/>
          <w:p>
            <w:pPr>
              <w:pStyle w:val="Compact"/>
              <w:jc w:val="left"/>
            </w:pPr>
            <w:r>
              <w:t xml:space="preserve">’ 48,000 / year</w:t>
            </w:r>
          </w:p>
        </w:tc>
        <w:tc>
          <w:tcPr/>
          <w:p>
            <w:pPr>
              <w:pStyle w:val="Compact"/>
              <w:jc w:val="left"/>
            </w:pPr>
            <w:r>
              <w:t xml:space="preserve">’ 48,000</w:t>
            </w:r>
          </w:p>
        </w:tc>
      </w:tr>
      <w:tr>
        <w:tc>
          <w:tcPr/>
          <w:p>
            <w:pPr>
              <w:pStyle w:val="Compact"/>
              <w:jc w:val="left"/>
            </w:pPr>
            <w:r>
              <w:t xml:space="preserve">3</w:t>
            </w:r>
          </w:p>
        </w:tc>
        <w:tc>
          <w:tcPr/>
          <w:p>
            <w:pPr>
              <w:pStyle w:val="Compact"/>
              <w:jc w:val="left"/>
            </w:pPr>
            <w:r>
              <w:t xml:space="preserve">Initial Collection Audit &amp; Re-cataloguing (one-time)</w:t>
            </w:r>
          </w:p>
        </w:tc>
        <w:tc>
          <w:tcPr/>
          <w:p>
            <w:pPr>
              <w:pStyle w:val="Compact"/>
              <w:jc w:val="left"/>
            </w:pPr>
            <w:r>
              <w:t xml:space="preserve">One-time</w:t>
            </w:r>
          </w:p>
        </w:tc>
        <w:tc>
          <w:tcPr/>
          <w:p>
            <w:pPr>
              <w:pStyle w:val="Compact"/>
              <w:jc w:val="left"/>
            </w:pPr>
            <w:r>
              <w:t xml:space="preserve">’ 1,20,000</w:t>
            </w:r>
          </w:p>
        </w:tc>
        <w:tc>
          <w:tcPr/>
          <w:p>
            <w:pPr>
              <w:pStyle w:val="Compact"/>
              <w:jc w:val="left"/>
            </w:pPr>
            <w:r>
              <w:t xml:space="preserve">’ 1,20,000</w:t>
            </w:r>
          </w:p>
        </w:tc>
      </w:tr>
      <w:tr>
        <w:tc>
          <w:tcPr/>
          <w:p>
            <w:pPr>
              <w:pStyle w:val="Compact"/>
              <w:jc w:val="left"/>
            </w:pPr>
            <w:r>
              <w:t xml:space="preserve">4</w:t>
            </w:r>
          </w:p>
        </w:tc>
        <w:tc>
          <w:tcPr/>
          <w:p>
            <w:pPr>
              <w:pStyle w:val="Compact"/>
              <w:jc w:val="left"/>
            </w:pPr>
            <w:r>
              <w:t xml:space="preserve">Digitalisation of 5,000 legacy documents (scanning, OCR, metadata)</w:t>
            </w:r>
          </w:p>
        </w:tc>
        <w:tc>
          <w:tcPr/>
          <w:p>
            <w:pPr>
              <w:pStyle w:val="Compact"/>
              <w:jc w:val="left"/>
            </w:pPr>
            <w:r>
              <w:t xml:space="preserve">One-time</w:t>
            </w:r>
          </w:p>
        </w:tc>
        <w:tc>
          <w:tcPr/>
          <w:p>
            <w:pPr>
              <w:pStyle w:val="Compact"/>
              <w:jc w:val="left"/>
            </w:pPr>
            <w:r>
              <w:t xml:space="preserve">’ 18 / document</w:t>
            </w:r>
          </w:p>
        </w:tc>
        <w:tc>
          <w:tcPr/>
          <w:p>
            <w:pPr>
              <w:pStyle w:val="Compact"/>
              <w:jc w:val="left"/>
            </w:pPr>
            <w:r>
              <w:t xml:space="preserve">’ 90,000</w:t>
            </w:r>
          </w:p>
        </w:tc>
      </w:tr>
      <w:tr>
        <w:tc>
          <w:tcPr/>
          <w:p>
            <w:pPr>
              <w:pStyle w:val="Compact"/>
              <w:jc w:val="left"/>
            </w:pPr>
            <w:r>
              <w:t xml:space="preserve">5</w:t>
            </w:r>
          </w:p>
        </w:tc>
        <w:tc>
          <w:tcPr/>
          <w:p>
            <w:pPr>
              <w:pStyle w:val="Compact"/>
              <w:jc w:val="left"/>
            </w:pPr>
            <w:r>
              <w:t xml:space="preserve">Information Literacy Workshops (8 sessions, 2 hrs each)</w:t>
            </w:r>
          </w:p>
        </w:tc>
        <w:tc>
          <w:tcPr/>
          <w:p>
            <w:pPr>
              <w:pStyle w:val="Compact"/>
              <w:jc w:val="left"/>
            </w:pPr>
            <w:r>
              <w:t xml:space="preserve">12 months</w:t>
            </w:r>
          </w:p>
        </w:tc>
        <w:tc>
          <w:tcPr/>
          <w:p>
            <w:pPr>
              <w:pStyle w:val="Compact"/>
              <w:jc w:val="left"/>
            </w:pPr>
            <w:r>
              <w:t xml:space="preserve">’ 12,000 / session</w:t>
            </w:r>
          </w:p>
        </w:tc>
        <w:tc>
          <w:tcPr/>
          <w:p>
            <w:pPr>
              <w:pStyle w:val="Compact"/>
              <w:jc w:val="left"/>
            </w:pPr>
            <w:r>
              <w:t xml:space="preserve">’ 96,000</w:t>
            </w:r>
          </w:p>
        </w:tc>
      </w:tr>
      <w:tr>
        <w:tc>
          <w:tcPr/>
          <w:p>
            <w:pPr>
              <w:pStyle w:val="Compact"/>
              <w:jc w:val="left"/>
            </w:pPr>
            <w:r>
              <w:t xml:space="preserve">6</w:t>
            </w:r>
          </w:p>
        </w:tc>
        <w:tc>
          <w:tcPr/>
          <w:p>
            <w:pPr>
              <w:pStyle w:val="Compact"/>
              <w:jc w:val="left"/>
            </w:pPr>
            <w:r>
              <w:t xml:space="preserve">Travel &amp; Local Transportation within New Delhi (monthly allowance)</w:t>
            </w:r>
          </w:p>
        </w:tc>
        <w:tc>
          <w:tcPr/>
          <w:p>
            <w:pPr>
              <w:pStyle w:val="Compact"/>
              <w:jc w:val="left"/>
            </w:pPr>
            <w:r>
              <w:t xml:space="preserve">12 months</w:t>
            </w:r>
          </w:p>
        </w:tc>
        <w:tc>
          <w:tcPr/>
          <w:p>
            <w:pPr>
              <w:pStyle w:val="Compact"/>
              <w:jc w:val="left"/>
            </w:pPr>
            <w:r>
              <w:t xml:space="preserve">’ 4,000 / month</w:t>
            </w:r>
          </w:p>
        </w:tc>
        <w:tc>
          <w:tcPr/>
          <w:p>
            <w:pPr>
              <w:pStyle w:val="Compact"/>
              <w:jc w:val="left"/>
            </w:pPr>
            <w:r>
              <w:t xml:space="preserve">’ 48,000</w:t>
            </w:r>
          </w:p>
        </w:tc>
      </w:tr>
      <w:tr>
        <w:tc>
          <w:tcPr/>
          <w:p>
            <w:pPr>
              <w:pStyle w:val="Compact"/>
              <w:jc w:val="left"/>
            </w:pPr>
            <w:r>
              <w:t xml:space="preserve">7</w:t>
            </w:r>
          </w:p>
        </w:tc>
        <w:tc>
          <w:tcPr/>
          <w:p>
            <w:pPr>
              <w:pStyle w:val="Compact"/>
              <w:jc w:val="left"/>
            </w:pPr>
            <w:r>
              <w:t xml:space="preserve">Professional Indemnity &amp; Liability Insurance (annual)</w:t>
            </w:r>
          </w:p>
        </w:tc>
        <w:tc>
          <w:tcPr/>
          <w:p>
            <w:pPr>
              <w:pStyle w:val="Compact"/>
              <w:jc w:val="left"/>
            </w:pPr>
            <w:r>
              <w:t xml:space="preserve">12 months</w:t>
            </w:r>
          </w:p>
        </w:tc>
        <w:tc>
          <w:tcPr/>
          <w:p>
            <w:pPr>
              <w:pStyle w:val="Compact"/>
              <w:jc w:val="left"/>
            </w:pPr>
            <w:r>
              <w:t xml:space="preserve">’ 25,000 / year</w:t>
            </w:r>
          </w:p>
        </w:tc>
        <w:tc>
          <w:tcPr/>
          <w:p>
            <w:pPr>
              <w:pStyle w:val="Compact"/>
              <w:jc w:val="left"/>
            </w:pPr>
            <w:r>
              <w:t xml:space="preserve">’ 25,000</w:t>
            </w:r>
          </w:p>
        </w:tc>
      </w:tr>
      <w:tr>
        <w:tc>
          <w:tcPr/>
          <w:p>
            <w:pPr>
              <w:pStyle w:val="Compact"/>
              <w:jc w:val="left"/>
            </w:pPr>
            <w:r>
              <w:t xml:space="preserve">8</w:t>
            </w:r>
          </w:p>
        </w:tc>
        <w:tc>
          <w:tcPr/>
          <w:p>
            <w:pPr>
              <w:pStyle w:val="Compact"/>
              <w:jc w:val="left"/>
            </w:pPr>
            <w:r>
              <w:t xml:space="preserve">Statutory Deductions &amp; Employer Compliance (PF, ESI, PT as per Indian labour law)</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 1,86,000</w:t>
            </w:r>
          </w:p>
        </w:tc>
      </w:tr>
      <w:tr>
        <w:tc>
          <w:tcPr>
            <w:gridSpan w:val="4"/>
          </w:tcPr>
          <w:p>
            <w:pPr>
              <w:pStyle w:val="Compact"/>
              <w:jc w:val="left"/>
            </w:pPr>
            <w:r>
              <w:t xml:space="preserve">Subtotal (before GST)</w:t>
            </w:r>
          </w:p>
        </w:tc>
        <w:tc>
          <w:tcPr/>
          <w:p>
            <w:pPr>
              <w:pStyle w:val="Compact"/>
              <w:jc w:val="left"/>
            </w:pPr>
            <w:r>
              <w:t xml:space="preserve">’ 17,53,000</w:t>
            </w:r>
          </w:p>
        </w:tc>
      </w:tr>
      <w:tr>
        <w:tc>
          <w:tcPr>
            <w:gridSpan w:val="4"/>
          </w:tcPr>
          <w:p>
            <w:pPr>
              <w:pStyle w:val="Compact"/>
              <w:jc w:val="left"/>
            </w:pPr>
            <w:r>
              <w:t xml:space="preserve">GST @ 18% (as applicable in New Delhi, India)</w:t>
            </w:r>
          </w:p>
        </w:tc>
        <w:tc>
          <w:tcPr/>
          <w:p>
            <w:pPr>
              <w:pStyle w:val="Compact"/>
              <w:jc w:val="left"/>
            </w:pPr>
            <w:r>
              <w:t xml:space="preserve">’ 3,15,540</w:t>
            </w:r>
          </w:p>
        </w:tc>
      </w:tr>
      <w:tr>
        <w:tc>
          <w:tcPr>
            <w:gridSpan w:val="4"/>
          </w:tcPr>
          <w:p>
            <w:pPr>
              <w:pStyle w:val="Compact"/>
              <w:jc w:val="left"/>
            </w:pPr>
            <w:r>
              <w:rPr>
                <w:bCs/>
                <w:b/>
              </w:rPr>
              <w:t xml:space="preserve">TOTAL QUOTATION ESTIMATE (INR)</w:t>
            </w:r>
          </w:p>
        </w:tc>
        <w:tc>
          <w:tcPr/>
          <w:p>
            <w:pPr>
              <w:pStyle w:val="Compact"/>
              <w:jc w:val="left"/>
            </w:pPr>
            <w:r>
              <w:rPr>
                <w:bCs/>
                <w:b/>
              </w:rPr>
              <w:t xml:space="preserve">’ 20,68,540</w:t>
            </w:r>
          </w:p>
        </w:tc>
      </w:tr>
    </w:tbl>
    <w:p>
      <w:pPr>
        <w:pStyle w:val="BodyText"/>
      </w:pPr>
      <w:r>
        <w:rPr>
          <w:iCs/>
          <w:i/>
        </w:rPr>
        <w:t xml:space="preserve">In words: Rupees Twenty Lakh Sixty-Eight Thousand Five Hundred and Forty Only.</w:t>
      </w:r>
    </w:p>
    <w:bookmarkEnd w:id="26"/>
    <w:bookmarkStart w:id="27" w:name="payment-terms-and-schedule"/>
    <w:p>
      <w:pPr>
        <w:pStyle w:val="Heading2"/>
      </w:pPr>
      <w:r>
        <w:t xml:space="preserve">5. Payment Terms and Schedule</w:t>
      </w:r>
    </w:p>
    <w:p>
      <w:pPr>
        <w:pStyle w:val="FirstParagraph"/>
      </w:pPr>
      <w:r>
        <w:t xml:space="preserve">Payment against this Quotation Estimate shall be made in the following instalments via bank transfer to the account of Delhi Knowledge Solutions Pvt. Ltd., HDFC Bank, Connaught Place Branch, New Delhi, India (Account No. XXXX-XXXX-5678, IFSC: HDFC0000123):</w:t>
      </w:r>
    </w:p>
    <w:p>
      <w:pPr>
        <w:numPr>
          <w:ilvl w:val="0"/>
          <w:numId w:val="1002"/>
        </w:numPr>
        <w:pStyle w:val="Compact"/>
      </w:pPr>
      <w:r>
        <w:rPr>
          <w:bCs/>
          <w:b/>
        </w:rPr>
        <w:t xml:space="preserve">Advance (40%):</w:t>
      </w:r>
      <w:r>
        <w:t xml:space="preserve"> </w:t>
      </w:r>
      <w:r>
        <w:t xml:space="preserve">’ 8,27,416 — due within 7 working days of acceptance of this Quotation Estimate.</w:t>
      </w:r>
    </w:p>
    <w:p>
      <w:pPr>
        <w:numPr>
          <w:ilvl w:val="0"/>
          <w:numId w:val="1002"/>
        </w:numPr>
        <w:pStyle w:val="Compact"/>
      </w:pPr>
      <w:r>
        <w:rPr>
          <w:bCs/>
          <w:b/>
        </w:rPr>
        <w:t xml:space="preserve">Mid-term (30%):</w:t>
      </w:r>
      <w:r>
        <w:t xml:space="preserve"> </w:t>
      </w:r>
      <w:r>
        <w:t xml:space="preserve">’ 6,20,562 — due upon completion of the initial collection audit and digitalisation milestone (approximately Month 3).</w:t>
      </w:r>
    </w:p>
    <w:p>
      <w:pPr>
        <w:numPr>
          <w:ilvl w:val="0"/>
          <w:numId w:val="1002"/>
        </w:numPr>
        <w:pStyle w:val="Compact"/>
      </w:pPr>
      <w:r>
        <w:rPr>
          <w:bCs/>
          <w:b/>
        </w:rPr>
        <w:t xml:space="preserve">Balance (30%):</w:t>
      </w:r>
      <w:r>
        <w:t xml:space="preserve"> </w:t>
      </w:r>
      <w:r>
        <w:t xml:space="preserve">’ 6,20,562 — due at the end of the 12-month service period, subject to satisfactory completion of all deliverables.</w:t>
      </w:r>
    </w:p>
    <w:bookmarkEnd w:id="27"/>
    <w:bookmarkStart w:id="28" w:name="terms-and-conditions"/>
    <w:p>
      <w:pPr>
        <w:pStyle w:val="Heading2"/>
      </w:pPr>
      <w:r>
        <w:t xml:space="preserve">6. Terms and Conditions</w:t>
      </w:r>
    </w:p>
    <w:p>
      <w:pPr>
        <w:numPr>
          <w:ilvl w:val="0"/>
          <w:numId w:val="1003"/>
        </w:numPr>
        <w:pStyle w:val="Compact"/>
      </w:pPr>
      <w:r>
        <w:t xml:space="preserve">This Quotation Estimate is valid for a period of thirty (30) calendar days from the date of issue. Beyond this period, rates may be revised to reflect market conditions in New Delhi, India.</w:t>
      </w:r>
    </w:p>
    <w:p>
      <w:pPr>
        <w:numPr>
          <w:ilvl w:val="0"/>
          <w:numId w:val="1003"/>
        </w:numPr>
        <w:pStyle w:val="Compact"/>
      </w:pPr>
      <w:r>
        <w:t xml:space="preserve">The Librarian shall work full-time (Monday to Saturday, 9:00 AM to 5:30 PM) at the client’s designated premises in New Delhi, India. Public holidays as notified by the Government of NCT of Delhi shall be observed.</w:t>
      </w:r>
    </w:p>
    <w:p>
      <w:pPr>
        <w:numPr>
          <w:ilvl w:val="0"/>
          <w:numId w:val="1003"/>
        </w:numPr>
        <w:pStyle w:val="Compact"/>
      </w:pPr>
      <w:r>
        <w:t xml:space="preserve">All intellectual property, cataloguing records, and digital assets created during the engagement shall remain the exclusive property of the client.</w:t>
      </w:r>
    </w:p>
    <w:p>
      <w:pPr>
        <w:numPr>
          <w:ilvl w:val="0"/>
          <w:numId w:val="1003"/>
        </w:numPr>
        <w:pStyle w:val="Compact"/>
      </w:pPr>
      <w:r>
        <w:t xml:space="preserve">The service provider reserves the right to substitute the assigned Librarian with a professional of equivalent or superior qualifications, subject to prior written notice to the client.</w:t>
      </w:r>
    </w:p>
    <w:p>
      <w:pPr>
        <w:numPr>
          <w:ilvl w:val="0"/>
          <w:numId w:val="1003"/>
        </w:numPr>
        <w:pStyle w:val="Compact"/>
      </w:pPr>
      <w:r>
        <w:t xml:space="preserve">Any additional services beyond the scope defined in Section 2 shall be quoted separately and require written approval from the client before execution.</w:t>
      </w:r>
    </w:p>
    <w:p>
      <w:pPr>
        <w:numPr>
          <w:ilvl w:val="0"/>
          <w:numId w:val="1003"/>
        </w:numPr>
        <w:pStyle w:val="Compact"/>
      </w:pPr>
      <w:r>
        <w:t xml:space="preserve">This Quotation Estimate does not constitute a binding contract until a formal Service Agreement is executed by both parties.</w:t>
      </w:r>
    </w:p>
    <w:p>
      <w:pPr>
        <w:numPr>
          <w:ilvl w:val="0"/>
          <w:numId w:val="1003"/>
        </w:numPr>
        <w:pStyle w:val="Compact"/>
      </w:pPr>
      <w:r>
        <w:t xml:space="preserve">Disputes arising from this engagement shall be governed by the laws of India and shall be subject to the exclusive jurisdiction of the competent courts in New Delhi, India.</w:t>
      </w:r>
    </w:p>
    <w:p>
      <w:pPr>
        <w:numPr>
          <w:ilvl w:val="0"/>
          <w:numId w:val="1003"/>
        </w:numPr>
        <w:pStyle w:val="Compact"/>
      </w:pPr>
      <w:r>
        <w:t xml:space="preserve">The client agrees to provide a suitable workspace, access to the library premises, and necessary utilities (electricity, internet) for the Librarian to perform duties effectively.</w:t>
      </w:r>
    </w:p>
    <w:bookmarkEnd w:id="28"/>
    <w:bookmarkStart w:id="29" w:name="acceptance-and-authorisation"/>
    <w:p>
      <w:pPr>
        <w:pStyle w:val="Heading2"/>
      </w:pPr>
      <w:r>
        <w:t xml:space="preserve">7. Acceptance and Authorisation</w:t>
      </w:r>
    </w:p>
    <w:p>
      <w:pPr>
        <w:pStyle w:val="FirstParagraph"/>
      </w:pPr>
      <w:r>
        <w:t xml:space="preserve">By signing below, the client acknowledges receipt of this Quotation Estimate for Librarian services in New Delhi, India, and confirms acceptance of the terms, conditions, and financial figures outlined herein. This acceptance shall serve as the basis for the subsequent execution of the definitive Service Agreement.</w:t>
      </w:r>
    </w:p>
    <w:p>
      <w:pPr>
        <w:pStyle w:val="BodyText"/>
      </w:pPr>
      <w:r>
        <w:rPr>
          <w:bCs/>
          <w:b/>
        </w:rPr>
        <w:t xml:space="preserve">For and on behalf of Delhi Knowledge Solutions Pvt. Ltd.:</w:t>
      </w:r>
    </w:p>
    <w:p>
      <w:pPr>
        <w:pStyle w:val="BodyText"/>
      </w:pPr>
      <w:r>
        <w:t xml:space="preserve">Name: Ms. Ananya Sharma</w:t>
      </w:r>
      <w:r>
        <w:br/>
      </w:r>
      <w:r>
        <w:t xml:space="preserve">Designation: Account Manager</w:t>
      </w:r>
      <w:r>
        <w:br/>
      </w:r>
      <w:r>
        <w:t xml:space="preserve">Date: _______________</w:t>
      </w:r>
    </w:p>
    <w:p>
      <w:pPr>
        <w:pStyle w:val="BodyText"/>
      </w:pPr>
      <w:r>
        <w:rPr>
          <w:bCs/>
          <w:b/>
        </w:rPr>
        <w:t xml:space="preserve">For and on behalf of the Client:</w:t>
      </w:r>
    </w:p>
    <w:p>
      <w:pPr>
        <w:pStyle w:val="BodyText"/>
      </w:pPr>
      <w:r>
        <w:t xml:space="preserve">Name: Shri Rajesh Malhotra</w:t>
      </w:r>
      <w:r>
        <w:br/>
      </w:r>
      <w:r>
        <w:t xml:space="preserve">Designation: Director, Malhotra Educational Trust</w:t>
      </w:r>
      <w:r>
        <w:br/>
      </w:r>
      <w:r>
        <w:t xml:space="preserve">Date: _______________</w:t>
      </w:r>
    </w:p>
    <w:p>
      <w:pPr>
        <w:pStyle w:val="BodyText"/>
      </w:pPr>
      <w:r>
        <w:t xml:space="preserve">Delhi Knowledge Solutions Pvt. Ltd. | 42, Connaught Place, New Delhi, India – 110001 | CIN: U74999DL2018PTC345678</w:t>
      </w:r>
    </w:p>
    <w:p>
      <w:pPr>
        <w:pStyle w:val="BodyText"/>
      </w:pPr>
      <w:r>
        <w:t xml:space="preserve">This Quotation Estimate is a confidential document intended solely for the named recipient. Unauthorised reproduction or distribution is prohibited.</w:t>
      </w:r>
    </w:p>
    <w:p>
      <w:pPr>
        <w:pStyle w:val="BodyText"/>
      </w:pPr>
      <w:r>
        <w:t xml:space="preserve">Page 1 of 1 | Generated on 14 June 2025</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New Delhi, India</dc:title>
  <dc:creator/>
  <dc:language>en</dc:language>
  <cp:keywords/>
  <dcterms:created xsi:type="dcterms:W3CDTF">2026-10-10T02:35:22Z</dcterms:created>
  <dcterms:modified xsi:type="dcterms:W3CDTF">2026-10-10T02:35:22Z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