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Peru</w:t>
      </w:r>
      <w:r>
        <w:t xml:space="preserve"> </w:t>
      </w:r>
      <w:r>
        <w:t xml:space="preserve">Lima</w:t>
      </w:r>
    </w:p>
    <w:bookmarkStart w:id="20" w:name="quotation-estimate"/>
    <w:p>
      <w:pPr>
        <w:pStyle w:val="Heading1"/>
      </w:pPr>
      <w:r>
        <w:t xml:space="preserve">Quotation Estimate</w:t>
      </w:r>
    </w:p>
    <w:p>
      <w:pPr>
        <w:pStyle w:val="FirstParagraph"/>
      </w:pPr>
      <w:r>
        <w:t xml:space="preserve">Professional Librarian Services — Peru Lima</w:t>
      </w:r>
    </w:p>
    <w:p>
      <w:pPr>
        <w:pStyle w:val="BodyText"/>
      </w:pPr>
      <w:r>
        <w:t xml:space="preserve">QUO-LIM-2025-0047</w:t>
      </w:r>
    </w:p>
    <w:bookmarkEnd w:id="20"/>
    <w:p>
      <w:pPr>
        <w:pStyle w:val="BodyText"/>
      </w:pPr>
      <w:r>
        <w:rPr>
          <w:bCs/>
          <w:b/>
        </w:rPr>
        <w:t xml:space="preserve">Date of Issue:</w:t>
      </w:r>
      <w:r>
        <w:t xml:space="preserve"> </w:t>
      </w:r>
      <w:r>
        <w:t xml:space="preserve">June 15, 2025</w:t>
      </w:r>
      <w:r>
        <w:br/>
      </w:r>
      <w:r>
        <w:rPr>
          <w:bCs/>
          <w:b/>
        </w:rPr>
        <w:t xml:space="preserve">Validity Period:</w:t>
      </w:r>
      <w:r>
        <w:t xml:space="preserve"> </w:t>
      </w:r>
      <w:r>
        <w:t xml:space="preserve">30 calendar days</w:t>
      </w:r>
      <w:r>
        <w:br/>
      </w:r>
      <w:r>
        <w:rPr>
          <w:bCs/>
          <w:b/>
        </w:rPr>
        <w:t xml:space="preserve">Quotation Reference:</w:t>
      </w:r>
      <w:r>
        <w:t xml:space="preserve"> </w:t>
      </w:r>
      <w:r>
        <w:t xml:space="preserve">QUO-LIM-2025-0047</w:t>
      </w:r>
    </w:p>
    <w:p>
      <w:pPr>
        <w:pStyle w:val="BodyText"/>
      </w:pPr>
      <w:r>
        <w:rPr>
          <w:bCs/>
          <w:b/>
        </w:rPr>
        <w:t xml:space="preserve">Prepared For:</w:t>
      </w:r>
      <w:r>
        <w:t xml:space="preserve"> </w:t>
      </w:r>
      <w:r>
        <w:t xml:space="preserve">Client (see below)</w:t>
      </w:r>
      <w:r>
        <w:br/>
      </w:r>
      <w:r>
        <w:rPr>
          <w:bCs/>
          <w:b/>
        </w:rPr>
        <w:t xml:space="preserve">Prepared By:</w:t>
      </w:r>
      <w:r>
        <w:t xml:space="preserve"> </w:t>
      </w:r>
      <w:r>
        <w:t xml:space="preserve">Bibliotecas Profesionales del Pacífico S.A.C.</w:t>
      </w:r>
      <w:r>
        <w:br/>
      </w:r>
      <w:r>
        <w:rPr>
          <w:bCs/>
          <w:b/>
        </w:rPr>
        <w:t xml:space="preserve">Location of Service:</w:t>
      </w:r>
      <w:r>
        <w:t xml:space="preserve"> </w:t>
      </w:r>
      <w:r>
        <w:t xml:space="preserve">Lima, Peru</w:t>
      </w:r>
    </w:p>
    <w:bookmarkStart w:id="23" w:name="parties-involved"/>
    <w:p>
      <w:pPr>
        <w:pStyle w:val="Heading2"/>
      </w:pPr>
      <w:r>
        <w:t xml:space="preserve">1. Parties Involved</w:t>
      </w:r>
    </w:p>
    <w:bookmarkStart w:id="21" w:name="service-provider"/>
    <w:p>
      <w:pPr>
        <w:pStyle w:val="Heading3"/>
      </w:pPr>
      <w:r>
        <w:t xml:space="preserve">Service Provider</w:t>
      </w:r>
    </w:p>
    <w:p>
      <w:pPr>
        <w:pStyle w:val="FirstParagraph"/>
      </w:pPr>
      <w:r>
        <w:rPr>
          <w:bCs/>
          <w:b/>
        </w:rPr>
        <w:t xml:space="preserve">Company:</w:t>
      </w:r>
      <w:r>
        <w:t xml:space="preserve"> </w:t>
      </w:r>
      <w:r>
        <w:t xml:space="preserve">Bibliotecas Profesionales del Pacífico S.A.C.</w:t>
      </w:r>
    </w:p>
    <w:p>
      <w:pPr>
        <w:pStyle w:val="BodyText"/>
      </w:pPr>
      <w:r>
        <w:rPr>
          <w:bCs/>
          <w:b/>
        </w:rPr>
        <w:t xml:space="preserve">RUC:</w:t>
      </w:r>
      <w:r>
        <w:t xml:space="preserve"> </w:t>
      </w:r>
      <w:r>
        <w:t xml:space="preserve">20601234567</w:t>
      </w:r>
    </w:p>
    <w:p>
      <w:pPr>
        <w:pStyle w:val="BodyText"/>
      </w:pPr>
      <w:r>
        <w:rPr>
          <w:bCs/>
          <w:b/>
        </w:rPr>
        <w:t xml:space="preserve">Address:</w:t>
      </w:r>
      <w:r>
        <w:t xml:space="preserve"> </w:t>
      </w:r>
      <w:r>
        <w:t xml:space="preserve">Av. Javier Prado Este 1250, Of. 804, San Isidro, Lima, Peru</w:t>
      </w:r>
    </w:p>
    <w:p>
      <w:pPr>
        <w:pStyle w:val="BodyText"/>
      </w:pPr>
      <w:r>
        <w:rPr>
          <w:bCs/>
          <w:b/>
        </w:rPr>
        <w:t xml:space="preserve">Phone:</w:t>
      </w:r>
      <w:r>
        <w:t xml:space="preserve"> </w:t>
      </w:r>
      <w:r>
        <w:t xml:space="preserve">+51 1 445-6789</w:t>
      </w:r>
    </w:p>
    <w:p>
      <w:pPr>
        <w:pStyle w:val="BodyText"/>
      </w:pPr>
      <w:r>
        <w:rPr>
          <w:bCs/>
          <w:b/>
        </w:rPr>
        <w:t xml:space="preserve">Email:</w:t>
      </w:r>
      <w:r>
        <w:t xml:space="preserve"> </w:t>
      </w:r>
      <w:r>
        <w:t xml:space="preserve">quotes@bibliotecasprofesionales.pe</w:t>
      </w:r>
    </w:p>
    <w:p>
      <w:pPr>
        <w:pStyle w:val="BodyText"/>
      </w:pPr>
      <w:r>
        <w:rPr>
          <w:bCs/>
          <w:b/>
        </w:rPr>
        <w:t xml:space="preserve">Representative:</w:t>
      </w:r>
      <w:r>
        <w:t xml:space="preserve"> </w:t>
      </w:r>
      <w:r>
        <w:t xml:space="preserve">Lic. María Elena Quispe Torres</w:t>
      </w:r>
    </w:p>
    <w:bookmarkEnd w:id="21"/>
    <w:bookmarkStart w:id="22" w:name="client-recipient"/>
    <w:p>
      <w:pPr>
        <w:pStyle w:val="Heading3"/>
      </w:pPr>
      <w:r>
        <w:t xml:space="preserve">Client / Recipient</w:t>
      </w:r>
    </w:p>
    <w:p>
      <w:pPr>
        <w:pStyle w:val="FirstParagraph"/>
      </w:pPr>
      <w:r>
        <w:rPr>
          <w:bCs/>
          <w:b/>
        </w:rPr>
        <w:t xml:space="preserve">Company:</w:t>
      </w:r>
      <w:r>
        <w:t xml:space="preserve"> </w:t>
      </w:r>
      <w:r>
        <w:t xml:space="preserve">Universidad Tecnológica del Callao</w:t>
      </w:r>
    </w:p>
    <w:p>
      <w:pPr>
        <w:pStyle w:val="BodyText"/>
      </w:pPr>
      <w:r>
        <w:rPr>
          <w:bCs/>
          <w:b/>
        </w:rPr>
        <w:t xml:space="preserve">RUC:</w:t>
      </w:r>
      <w:r>
        <w:t xml:space="preserve"> </w:t>
      </w:r>
      <w:r>
        <w:t xml:space="preserve">20509876543</w:t>
      </w:r>
    </w:p>
    <w:p>
      <w:pPr>
        <w:pStyle w:val="BodyText"/>
      </w:pPr>
      <w:r>
        <w:rPr>
          <w:bCs/>
          <w:b/>
        </w:rPr>
        <w:t xml:space="preserve">Address:</w:t>
      </w:r>
      <w:r>
        <w:t xml:space="preserve"> </w:t>
      </w:r>
      <w:r>
        <w:t xml:space="preserve">Av. La Marina 1500, Callao, Lima, Peru</w:t>
      </w:r>
    </w:p>
    <w:p>
      <w:pPr>
        <w:pStyle w:val="BodyText"/>
      </w:pPr>
      <w:r>
        <w:rPr>
          <w:bCs/>
          <w:b/>
        </w:rPr>
        <w:t xml:space="preserve">Phone:</w:t>
      </w:r>
      <w:r>
        <w:t xml:space="preserve"> </w:t>
      </w:r>
      <w:r>
        <w:t xml:space="preserve">+51 1 332-4567</w:t>
      </w:r>
    </w:p>
    <w:p>
      <w:pPr>
        <w:pStyle w:val="BodyText"/>
      </w:pPr>
      <w:r>
        <w:rPr>
          <w:bCs/>
          <w:b/>
        </w:rPr>
        <w:t xml:space="preserve">Email:</w:t>
      </w:r>
      <w:r>
        <w:t xml:space="preserve"> </w:t>
      </w:r>
      <w:r>
        <w:t xml:space="preserve">compras@utec.edu.pe</w:t>
      </w:r>
    </w:p>
    <w:p>
      <w:pPr>
        <w:pStyle w:val="BodyText"/>
      </w:pPr>
      <w:r>
        <w:rPr>
          <w:bCs/>
          <w:b/>
        </w:rPr>
        <w:t xml:space="preserve">Contact Person:</w:t>
      </w:r>
      <w:r>
        <w:t xml:space="preserve"> </w:t>
      </w:r>
      <w:r>
        <w:t xml:space="preserve">Ing. Ricardo Salazar Mendoza</w:t>
      </w:r>
    </w:p>
    <w:bookmarkEnd w:id="22"/>
    <w:bookmarkEnd w:id="23"/>
    <w:bookmarkStart w:id="24" w:name="scope-of-librarian-services"/>
    <w:p>
      <w:pPr>
        <w:pStyle w:val="Heading2"/>
      </w:pPr>
      <w:r>
        <w:t xml:space="preserve">2. Scope of Librarian Services</w:t>
      </w:r>
    </w:p>
    <w:p>
      <w:pPr>
        <w:pStyle w:val="FirstParagraph"/>
      </w:pPr>
      <w:r>
        <w:t xml:space="preserve">This Quotation Estimate is issued by Bibliotecas Profesionales del Pacífico S.A.C. to provide comprehensive professional Librarian services to the Universidad Tecnológica del Callao, located in the metropolitan area of Peru Lima. The Librarian engagement encompasses the full spectrum of academic library management, cataloging, digital resource integration, and patron support services tailored to the institutional needs of a higher education facility in the Lima region. The Librarian professional assigned to this project will operate in accordance with the standards established by the Peruvian Ministry of Education (MINEDU) and the International Federation of Library Associations (IFLA) guidelines applicable to academic institutions in Peru Lima.</w:t>
      </w:r>
    </w:p>
    <w:bookmarkEnd w:id="24"/>
    <w:bookmarkStart w:id="25"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Librarian Service Description</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1</w:t>
            </w:r>
          </w:p>
        </w:tc>
        <w:tc>
          <w:tcPr/>
          <w:p>
            <w:pPr>
              <w:pStyle w:val="Compact"/>
              <w:jc w:val="left"/>
            </w:pPr>
            <w:r>
              <w:t xml:space="preserve">Senior Librarian — Full-time academic library management, collection development, and reference services in Peru Lima</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Junior Librarian — Cataloging, classification (CDD), and circulation desk support</w:t>
            </w:r>
          </w:p>
        </w:tc>
        <w:tc>
          <w:tcPr/>
          <w:p>
            <w:pPr>
              <w:pStyle w:val="Compact"/>
              <w:jc w:val="left"/>
            </w:pPr>
            <w:r>
              <w:t xml:space="preserve">12 months</w:t>
            </w:r>
          </w:p>
        </w:tc>
        <w:tc>
          <w:tcPr/>
          <w:p>
            <w:pPr>
              <w:pStyle w:val="Compact"/>
              <w:jc w:val="left"/>
            </w:pPr>
            <w:r>
              <w:t xml:space="preserve">2</w:t>
            </w:r>
          </w:p>
        </w:tc>
        <w:tc>
          <w:tcPr/>
          <w:p>
            <w:pPr>
              <w:pStyle w:val="Compact"/>
              <w:jc w:val="left"/>
            </w:pPr>
            <w:r>
              <w:t xml:space="preserve">5,200.00</w:t>
            </w:r>
          </w:p>
        </w:tc>
        <w:tc>
          <w:tcPr/>
          <w:p>
            <w:pPr>
              <w:pStyle w:val="Compact"/>
              <w:jc w:val="left"/>
            </w:pPr>
            <w:r>
              <w:t xml:space="preserve">124,800.00</w:t>
            </w:r>
          </w:p>
        </w:tc>
      </w:tr>
      <w:tr>
        <w:tc>
          <w:tcPr/>
          <w:p>
            <w:pPr>
              <w:pStyle w:val="Compact"/>
              <w:jc w:val="left"/>
            </w:pPr>
            <w:r>
              <w:t xml:space="preserve">3</w:t>
            </w:r>
          </w:p>
        </w:tc>
        <w:tc>
          <w:tcPr/>
          <w:p>
            <w:pPr>
              <w:pStyle w:val="Compact"/>
              <w:jc w:val="left"/>
            </w:pPr>
            <w:r>
              <w:t xml:space="preserve">Digital Librarian — E-resource management, database licensing, and digital repository administration</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7,800.00</w:t>
            </w:r>
          </w:p>
        </w:tc>
        <w:tc>
          <w:tcPr/>
          <w:p>
            <w:pPr>
              <w:pStyle w:val="Compact"/>
              <w:jc w:val="left"/>
            </w:pPr>
            <w:r>
              <w:t xml:space="preserve">93,600.00</w:t>
            </w:r>
          </w:p>
        </w:tc>
      </w:tr>
      <w:tr>
        <w:tc>
          <w:tcPr/>
          <w:p>
            <w:pPr>
              <w:pStyle w:val="Compact"/>
              <w:jc w:val="left"/>
            </w:pPr>
            <w:r>
              <w:t xml:space="preserve">4</w:t>
            </w:r>
          </w:p>
        </w:tc>
        <w:tc>
          <w:tcPr/>
          <w:p>
            <w:pPr>
              <w:pStyle w:val="Compact"/>
              <w:jc w:val="left"/>
            </w:pPr>
            <w:r>
              <w:t xml:space="preserve">Librarian Training Program — On-site staff development workshops for university library personnel in Lima</w:t>
            </w:r>
          </w:p>
        </w:tc>
        <w:tc>
          <w:tcPr/>
          <w:p>
            <w:pPr>
              <w:pStyle w:val="Compact"/>
              <w:jc w:val="left"/>
            </w:pPr>
            <w:r>
              <w:t xml:space="preserve">4 sessions</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Library Systems Audit — Comprehensive assessment of current library infrastructure and workflow optimization</w:t>
            </w:r>
          </w:p>
        </w:tc>
        <w:tc>
          <w:tcPr/>
          <w:p>
            <w:pPr>
              <w:pStyle w:val="Compact"/>
              <w:jc w:val="left"/>
            </w:pPr>
            <w:r>
              <w:t xml:space="preserve">One-time</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Monthly Reporting — KPI dashboards, usage analytics, and compliance reports for institutional management</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800.00</w:t>
            </w:r>
          </w:p>
        </w:tc>
        <w:tc>
          <w:tcPr/>
          <w:p>
            <w:pPr>
              <w:pStyle w:val="Compact"/>
              <w:jc w:val="left"/>
            </w:pPr>
            <w:r>
              <w:t xml:space="preserve">9,600.00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(PEN)</w:t>
            </w:r>
          </w:p>
        </w:tc>
      </w:tr>
      <w:tr>
        <w:tc>
          <w:tcPr/>
          <w:p>
            <w:pPr>
              <w:pStyle w:val="Compact"/>
              <w:jc w:val="left"/>
            </w:pPr>
            <w:r>
              <w:t xml:space="preserve">Subtotal</w:t>
            </w:r>
          </w:p>
        </w:tc>
        <w:tc>
          <w:tcPr/>
          <w:p>
            <w:pPr>
              <w:pStyle w:val="Compact"/>
              <w:jc w:val="left"/>
            </w:pPr>
            <w:r>
              <w:t xml:space="preserve">348,000.00</w:t>
            </w:r>
          </w:p>
        </w:tc>
      </w:tr>
      <w:tr>
        <w:tc>
          <w:tcPr/>
          <w:p>
            <w:pPr>
              <w:pStyle w:val="Compact"/>
              <w:jc w:val="left"/>
            </w:pPr>
            <w:r>
              <w:t xml:space="preserve">IGV (18%) — Peruvian General Sales Tax</w:t>
            </w:r>
          </w:p>
        </w:tc>
        <w:tc>
          <w:tcPr/>
          <w:p>
            <w:pPr>
              <w:pStyle w:val="Compact"/>
              <w:jc w:val="left"/>
            </w:pPr>
            <w:r>
              <w:t xml:space="preserve">62,640.00</w:t>
            </w:r>
          </w:p>
        </w:tc>
      </w:tr>
      <w:tr>
        <w:tc>
          <w:tcPr/>
          <w:p>
            <w:pPr>
              <w:pStyle w:val="Compact"/>
              <w:jc w:val="left"/>
            </w:pPr>
            <w:r>
              <w:t xml:space="preserve">GRAND TOTAL (PEN)</w:t>
            </w:r>
          </w:p>
        </w:tc>
        <w:tc>
          <w:tcPr/>
          <w:p>
            <w:pPr>
              <w:pStyle w:val="Compact"/>
              <w:jc w:val="left"/>
            </w:pPr>
            <w:r>
              <w:t xml:space="preserve">410,640.00</w:t>
            </w:r>
          </w:p>
        </w:tc>
      </w:tr>
    </w:tbl>
    <w:p>
      <w:pPr>
        <w:pStyle w:val="BodyText"/>
      </w:pPr>
      <w:r>
        <w:t xml:space="preserve">* All amounts are expressed in Peruvian Soles (PEN / S/). Exchange rate reference: 1 USD ≈ 3.72 PEN (BCR Lima, June 2025).</w:t>
      </w:r>
    </w:p>
    <w:bookmarkEnd w:id="25"/>
    <w:bookmarkStart w:id="27" w:name="X985eb999f0cfcda5f1af1a675bf0b7c2e0a6c64"/>
    <w:p>
      <w:pPr>
        <w:pStyle w:val="Heading2"/>
      </w:pPr>
      <w:r>
        <w:t xml:space="preserve">4. Terms and Conditions of This Quotation Estimate</w:t>
      </w:r>
    </w:p>
    <w:bookmarkStart w:id="26" w:name="general-conditions"/>
    <w:p>
      <w:pPr>
        <w:pStyle w:val="Heading3"/>
      </w:pPr>
      <w:r>
        <w:t xml:space="preserve">General Conditions</w:t>
      </w:r>
    </w:p>
    <w:p>
      <w:pPr>
        <w:numPr>
          <w:ilvl w:val="0"/>
          <w:numId w:val="1001"/>
        </w:numPr>
        <w:pStyle w:val="Compact"/>
      </w:pPr>
      <w:r>
        <w:t xml:space="preserve">This Quotation Estimate is valid for a period of thirty (30) calendar days from the date of issue. After this period, pricing for the Librarian services may be subject to revision based on market conditions in Peru Lima.</w:t>
      </w:r>
    </w:p>
    <w:p>
      <w:pPr>
        <w:numPr>
          <w:ilvl w:val="0"/>
          <w:numId w:val="1001"/>
        </w:numPr>
        <w:pStyle w:val="Compact"/>
      </w:pPr>
      <w:r>
        <w:t xml:space="preserve">Payment terms: 50% upon contract execution and 50% upon successful completion of the first six-month milestone. Invoices will be issued in accordance with Peruvian tax regulations (SUNAT compliance).</w:t>
      </w:r>
    </w:p>
    <w:p>
      <w:pPr>
        <w:numPr>
          <w:ilvl w:val="0"/>
          <w:numId w:val="1001"/>
        </w:numPr>
        <w:pStyle w:val="Compact"/>
      </w:pPr>
      <w:r>
        <w:t xml:space="preserve">The Librarian professionals assigned to this project will be employees of Bibliotecas Profesionales del Pacífico S.A.C. and will comply with all labor regulations established by the Peruvian Ministry of Labor and Employment Promotion (MINTRAB).</w:t>
      </w:r>
    </w:p>
    <w:p>
      <w:pPr>
        <w:numPr>
          <w:ilvl w:val="0"/>
          <w:numId w:val="1001"/>
        </w:numPr>
        <w:pStyle w:val="Compact"/>
      </w:pPr>
      <w:r>
        <w:t xml:space="preserve">Service delivery location: Universidad Tecnológica del Callao, Callao district, Lima, Peru. All Librarian personnel will report to the designated facility during standard business hours (Monday to Friday, 08:00 to 17:00, Peru time — GMT-5).</w:t>
      </w:r>
    </w:p>
    <w:p>
      <w:pPr>
        <w:numPr>
          <w:ilvl w:val="0"/>
          <w:numId w:val="1001"/>
        </w:numPr>
        <w:pStyle w:val="Compact"/>
      </w:pPr>
      <w:r>
        <w:t xml:space="preserve">Any modifications to the scope of Librarian services outlined in this Quotation Estimate must be agreed upon in writing by both parties prior to implementation.</w:t>
      </w:r>
    </w:p>
    <w:p>
      <w:pPr>
        <w:numPr>
          <w:ilvl w:val="0"/>
          <w:numId w:val="1001"/>
        </w:numPr>
        <w:pStyle w:val="Compact"/>
      </w:pPr>
      <w:r>
        <w:t xml:space="preserve">The client reserves the right to request a replacement of any Librarian professional within fourteen (14) days of assignment if performance does not meet the agreed-upon service level standards.</w:t>
      </w:r>
    </w:p>
    <w:p>
      <w:pPr>
        <w:numPr>
          <w:ilvl w:val="0"/>
          <w:numId w:val="1001"/>
        </w:numPr>
        <w:pStyle w:val="Compact"/>
      </w:pPr>
      <w:r>
        <w:t xml:space="preserve">This Quotation Estimate does not constitute a binding contract. A formal service agreement must be executed by both parties before any Librarian services commence.</w:t>
      </w:r>
    </w:p>
    <w:p>
      <w:pPr>
        <w:numPr>
          <w:ilvl w:val="0"/>
          <w:numId w:val="1001"/>
        </w:numPr>
        <w:pStyle w:val="Compact"/>
      </w:pPr>
      <w:r>
        <w:t xml:space="preserve">All intellectual property generated during the course of the Librarian engagement (catalogs, digital repositories, training materials) shall remain the property of the client institution.</w:t>
      </w:r>
    </w:p>
    <w:p>
      <w:pPr>
        <w:numPr>
          <w:ilvl w:val="0"/>
          <w:numId w:val="1001"/>
        </w:numPr>
        <w:pStyle w:val="Compact"/>
      </w:pPr>
      <w:r>
        <w:t xml:space="preserve">Disputes arising from this Quotation Estimate or the subsequent service agreement shall be resolved through the competent courts of Lima, Peru, in accordance with Peruvian civil and commercial law.</w:t>
      </w:r>
    </w:p>
    <w:p>
      <w:pPr>
        <w:numPr>
          <w:ilvl w:val="0"/>
          <w:numId w:val="1001"/>
        </w:numPr>
        <w:pStyle w:val="Compact"/>
      </w:pPr>
      <w:r>
        <w:t xml:space="preserve">Confidentiality: Both parties agree to maintain strict confidentiality regarding all institutional data, patron records, and proprietary information encountered during the provision of Librarian services in Peru Lima.</w:t>
      </w:r>
    </w:p>
    <w:bookmarkEnd w:id="26"/>
    <w:bookmarkEnd w:id="27"/>
    <w:bookmarkStart w:id="28" w:name="acceptance-and-authorization"/>
    <w:p>
      <w:pPr>
        <w:pStyle w:val="Heading2"/>
      </w:pPr>
      <w:r>
        <w:t xml:space="preserve">5. Acceptance and Authorization</w:t>
      </w:r>
    </w:p>
    <w:p>
      <w:pPr>
        <w:pStyle w:val="FirstParagraph"/>
      </w:pPr>
      <w:r>
        <w:t xml:space="preserve">By signing below, the client acknowledges receipt of this Quotation Estimate for Librarian services in Peru Lima and agrees to the terms and conditions outlined herein. This signature indicates intent to proceed with the formal contracting process but does not, by itself, constitute a binding purchase order.</w:t>
      </w:r>
    </w:p>
    <w:p>
      <w:pPr>
        <w:pStyle w:val="BodyText"/>
      </w:pPr>
      <w:r>
        <w:rPr>
          <w:bCs/>
          <w:b/>
        </w:rPr>
        <w:t xml:space="preserve">For: Bibliotecas Profesionales del Pacífico S.A.C.</w:t>
      </w:r>
      <w:r>
        <w:br/>
      </w:r>
      <w:r>
        <w:t xml:space="preserve">Lic. María Elena Quispe Torres</w:t>
      </w:r>
      <w:r>
        <w:br/>
      </w:r>
      <w:r>
        <w:t xml:space="preserve">Director of Operations</w:t>
      </w:r>
      <w:r>
        <w:br/>
      </w:r>
      <w:r>
        <w:t xml:space="preserve">RUC: 20601234567</w:t>
      </w:r>
    </w:p>
    <w:p>
      <w:pPr>
        <w:pStyle w:val="BodyText"/>
      </w:pPr>
      <w:r>
        <w:rPr>
          <w:bCs/>
          <w:b/>
        </w:rPr>
        <w:t xml:space="preserve">For: Universidad Tecnológica del Callao</w:t>
      </w:r>
      <w:r>
        <w:br/>
      </w:r>
      <w:r>
        <w:t xml:space="preserve">Ing. Ricardo Salazar Mendoza</w:t>
      </w:r>
      <w:r>
        <w:br/>
      </w:r>
      <w:r>
        <w:t xml:space="preserve">Director of Procurement</w:t>
      </w:r>
      <w:r>
        <w:br/>
      </w:r>
      <w:r>
        <w:t xml:space="preserve">RUC: 20509876543</w:t>
      </w:r>
    </w:p>
    <w:p>
      <w:pPr>
        <w:pStyle w:val="BodyText"/>
      </w:pPr>
      <w:r>
        <w:t xml:space="preserve">Bibliotecas Profesionales del Pacífico S.A.C. — Av. Javier Prado Este 1250, San Isidro, Lima, Peru</w:t>
      </w:r>
      <w:r>
        <w:br/>
      </w:r>
      <w:r>
        <w:t xml:space="preserve">RUC: 20601234567 | +51 1 445-6789 | quotes@bibliotecasprofesionales.pe</w:t>
      </w:r>
      <w:r>
        <w:br/>
      </w:r>
      <w:r>
        <w:t xml:space="preserve">This Quotation Estimate was generated for professional Librarian services in Peru Lima. Document Ref: QUO-LIM-2025-0047</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Peru Lima</dc:title>
  <dc:creator/>
  <dc:language>en</dc:language>
  <cp:keywords/>
  <dcterms:created xsi:type="dcterms:W3CDTF">2026-10-10T01:11:25Z</dcterms:created>
  <dcterms:modified xsi:type="dcterms:W3CDTF">2026-10-10T01:11:25Z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