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Librarian Services — Philippines Manila</w:t>
      </w:r>
    </w:p>
    <w:bookmarkEnd w:id="20"/>
    <w:bookmarkStart w:id="21" w:name="service-provider"/>
    <w:p>
      <w:pPr>
        <w:pStyle w:val="Heading3"/>
      </w:pPr>
      <w:r>
        <w:t xml:space="preserve">Service Provider</w:t>
      </w:r>
    </w:p>
    <w:p>
      <w:pPr>
        <w:pStyle w:val="FirstParagraph"/>
      </w:pPr>
      <w:r>
        <w:rPr>
          <w:bCs/>
          <w:b/>
        </w:rPr>
        <w:t xml:space="preserve">Manila Knowledge Solutions, Inc.</w:t>
      </w:r>
    </w:p>
    <w:p>
      <w:pPr>
        <w:pStyle w:val="BodyText"/>
      </w:pPr>
      <w:r>
        <w:t xml:space="preserve">128 Ayala Avenue, Makati City</w:t>
      </w:r>
    </w:p>
    <w:p>
      <w:pPr>
        <w:pStyle w:val="BodyText"/>
      </w:pPr>
      <w:r>
        <w:t xml:space="preserve">Philippines Manila, 1226</w:t>
      </w:r>
    </w:p>
    <w:p>
      <w:pPr>
        <w:pStyle w:val="BodyText"/>
      </w:pPr>
      <w:r>
        <w:t xml:space="preserve">Tel: +63 (2) 8855-4421</w:t>
      </w:r>
    </w:p>
    <w:p>
      <w:pPr>
        <w:pStyle w:val="BodyText"/>
      </w:pPr>
      <w:r>
        <w:t xml:space="preserve">Email: quotations@manilaknowledge.ph</w:t>
      </w:r>
    </w:p>
    <w:p>
      <w:pPr>
        <w:pStyle w:val="BodyText"/>
      </w:pPr>
      <w:r>
        <w:t xml:space="preserve">DTI Reg. No.: 201912345678</w:t>
      </w:r>
    </w:p>
    <w:bookmarkEnd w:id="21"/>
    <w:bookmarkStart w:id="22" w:name="client-recipient"/>
    <w:p>
      <w:pPr>
        <w:pStyle w:val="Heading3"/>
      </w:pPr>
      <w:r>
        <w:t xml:space="preserve">Client / Recipient</w:t>
      </w:r>
    </w:p>
    <w:p>
      <w:pPr>
        <w:pStyle w:val="FirstParagraph"/>
      </w:pPr>
      <w:r>
        <w:rPr>
          <w:bCs/>
          <w:b/>
        </w:rPr>
        <w:t xml:space="preserve">University of the Philippines Library</w:t>
      </w:r>
    </w:p>
    <w:p>
      <w:pPr>
        <w:pStyle w:val="BodyText"/>
      </w:pPr>
      <w:r>
        <w:t xml:space="preserve">UP Diliman, Quezon City</w:t>
      </w:r>
    </w:p>
    <w:p>
      <w:pPr>
        <w:pStyle w:val="BodyText"/>
      </w:pPr>
      <w:r>
        <w:t xml:space="preserve">Philippines Manila Metro Area, 1101</w:t>
      </w:r>
    </w:p>
    <w:p>
      <w:pPr>
        <w:pStyle w:val="BodyText"/>
      </w:pPr>
      <w:r>
        <w:t xml:space="preserve">Attn: Dr. Maria Santos, Dean of Library Services</w:t>
      </w:r>
    </w:p>
    <w:p>
      <w:pPr>
        <w:pStyle w:val="BodyText"/>
      </w:pPr>
      <w:r>
        <w:t xml:space="preserve">Tel: +63 (2) 8840-4000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MKS-2025-00472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Philippines Manila (Metro Manila)</w:t>
            </w:r>
          </w:p>
        </w:tc>
      </w:tr>
      <w:tr>
        <w:tc>
          <w:tcPr/>
          <w:p>
            <w:pPr>
              <w:pStyle w:val="Compact"/>
              <w:jc w:val="left"/>
            </w:pPr>
            <w:r>
              <w:t xml:space="preserve">Prepared By:</w:t>
            </w:r>
          </w:p>
        </w:tc>
        <w:tc>
          <w:tcPr/>
          <w:p>
            <w:pPr>
              <w:pStyle w:val="Compact"/>
              <w:jc w:val="left"/>
            </w:pPr>
            <w:r>
              <w:t xml:space="preserve">Engr. Rafael D. Cruz, Account Manager</w:t>
            </w:r>
          </w:p>
        </w:tc>
        <w:tc>
          <w:tcPr/>
          <w:p>
            <w:pPr>
              <w:pStyle w:val="Compact"/>
              <w:jc w:val="left"/>
            </w:pPr>
            <w:r>
              <w:t xml:space="preserve">Currency:</w:t>
            </w:r>
          </w:p>
        </w:tc>
        <w:tc>
          <w:tcPr/>
          <w:p>
            <w:pPr>
              <w:pStyle w:val="Compact"/>
              <w:jc w:val="left"/>
            </w:pPr>
            <w:r>
              <w:t xml:space="preserve">Philippine Peso (PHP)</w:t>
            </w:r>
          </w:p>
        </w:tc>
      </w:tr>
    </w:tbl>
    <w:bookmarkStart w:id="23" w:name="scope-of-librarian-services"/>
    <w:p>
      <w:pPr>
        <w:pStyle w:val="Heading2"/>
      </w:pPr>
      <w:r>
        <w:t xml:space="preserve">1. Scope of Librarian Services</w:t>
      </w:r>
    </w:p>
    <w:p>
      <w:pPr>
        <w:pStyle w:val="FirstParagraph"/>
      </w:pPr>
      <w:r>
        <w:t xml:space="preserve">This</w:t>
      </w:r>
      <w:r>
        <w:t xml:space="preserve"> </w:t>
      </w:r>
      <w:r>
        <w:t xml:space="preserve">Quotation Estimate</w:t>
      </w:r>
      <w:r>
        <w:t xml:space="preserve"> </w:t>
      </w:r>
      <w:r>
        <w:t xml:space="preserve">is issued by Manila Knowledge Solutions, Inc. to provide comprehensive</w:t>
      </w:r>
      <w:r>
        <w:t xml:space="preserve"> </w:t>
      </w:r>
      <w:r>
        <w:t xml:space="preserve">Librarian</w:t>
      </w:r>
      <w:r>
        <w:t xml:space="preserve"> </w:t>
      </w:r>
      <w:r>
        <w:t xml:space="preserve">professional services within the</w:t>
      </w:r>
      <w:r>
        <w:t xml:space="preserve"> </w:t>
      </w:r>
      <w:r>
        <w:t xml:space="preserve">Philippines Manila</w:t>
      </w:r>
      <w:r>
        <w:t xml:space="preserve"> </w:t>
      </w:r>
      <w:r>
        <w:t xml:space="preserve">metropolitan area. The scope encompasses the deployment of certified Librarian professionals, digital cataloging systems, reference desk operations, and archival management tailored specifically to the institutional needs of the client located in the Philippines Manila region. All services shall be rendered in compliance with the Philippine Library Association (PLA) standards and the Data Privacy Act of 2012 (Republic Act No. 10173) as applicable in the Philippines Manila jurisdiction.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Librarian Deployment — Full-time on-site Librarian at the Philippines Manila branch facility. Includes cataloging, circulation management, and patron assistance.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Junior Librarian Support — Two (2) part-time Librarian assistants for reference desk, interlibrary loan coordination, and digital resource management in the Philippines Manila campus.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₱672,000.00</w:t>
            </w:r>
          </w:p>
        </w:tc>
      </w:tr>
      <w:tr>
        <w:tc>
          <w:tcPr/>
          <w:p>
            <w:pPr>
              <w:pStyle w:val="Compact"/>
              <w:jc w:val="left"/>
            </w:pPr>
            <w:r>
              <w:t xml:space="preserve">3</w:t>
            </w:r>
          </w:p>
        </w:tc>
        <w:tc>
          <w:tcPr/>
          <w:p>
            <w:pPr>
              <w:pStyle w:val="Compact"/>
              <w:jc w:val="left"/>
            </w:pPr>
            <w:r>
              <w:t xml:space="preserve">Digital Cataloging &amp; Metadata Services — Migration of 50,000 physical records to the integrated library management system (ILMS) with MARC 21 and Dublin Core metadata standards.</w:t>
            </w:r>
          </w:p>
        </w:tc>
        <w:tc>
          <w:tcPr/>
          <w:p>
            <w:pPr>
              <w:pStyle w:val="Compact"/>
              <w:jc w:val="left"/>
            </w:pPr>
            <w:r>
              <w:t xml:space="preserve">One-time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Archival &amp; Special Collections Management — Dedicated Librarian specialist for rare books, Philippine historical manuscripts, and government documents stored in the Philippines Manila repository.</w:t>
            </w:r>
          </w:p>
        </w:tc>
        <w:tc>
          <w:tcPr/>
          <w:p>
            <w:pPr>
              <w:pStyle w:val="Compact"/>
              <w:jc w:val="left"/>
            </w:pPr>
            <w:r>
              <w:t xml:space="preserve">12 months</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5</w:t>
            </w:r>
          </w:p>
        </w:tc>
        <w:tc>
          <w:tcPr/>
          <w:p>
            <w:pPr>
              <w:pStyle w:val="Compact"/>
              <w:jc w:val="left"/>
            </w:pPr>
            <w:r>
              <w:t xml:space="preserve">Training &amp; Capacity Building — Quarterly workshops for in-house staff on modern Librarian practices, information literacy instruction, and Philippine copyright law compliance.</w:t>
            </w:r>
          </w:p>
        </w:tc>
        <w:tc>
          <w:tcPr/>
          <w:p>
            <w:pPr>
              <w:pStyle w:val="Compact"/>
              <w:jc w:val="left"/>
            </w:pPr>
            <w:r>
              <w:t xml:space="preserve">4 sessions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6</w:t>
            </w:r>
          </w:p>
        </w:tc>
        <w:tc>
          <w:tcPr/>
          <w:p>
            <w:pPr>
              <w:pStyle w:val="Compact"/>
              <w:jc w:val="left"/>
            </w:pPr>
            <w:r>
              <w:t xml:space="preserve">Travel &amp; Logistics within Philippines Manila — Transportation, local travel, and on-site supervision for all Librarian personnel operating across multiple Philippines Manila branch locations.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Technology &amp; Software Licensing — Annual subscription to library management software, e-book platforms, and digital preservation tools for the Philippines Manila operation.</w:t>
            </w:r>
          </w:p>
        </w:tc>
        <w:tc>
          <w:tcPr/>
          <w:p>
            <w:pPr>
              <w:pStyle w:val="Compact"/>
              <w:jc w:val="left"/>
            </w:pPr>
            <w:r>
              <w:t xml:space="preserve">12 months</w:t>
            </w:r>
          </w:p>
        </w:tc>
        <w:tc>
          <w:tcPr/>
          <w:p>
            <w:pPr>
              <w:pStyle w:val="Compact"/>
              <w:jc w:val="left"/>
            </w:pPr>
            <w:r>
              <w:t xml:space="preserve">₱98,000.00</w:t>
            </w:r>
          </w:p>
        </w:tc>
        <w:tc>
          <w:tcPr/>
          <w:p>
            <w:pPr>
              <w:pStyle w:val="Compact"/>
              <w:jc w:val="left"/>
            </w:pPr>
            <w:r>
              <w:t xml:space="preserve">₱98,000.00</w:t>
            </w:r>
          </w:p>
        </w:tc>
      </w:tr>
      <w:tr>
        <w:tc>
          <w:tcPr>
            <w:gridSpan w:val="4"/>
          </w:tcPr>
          <w:p>
            <w:pPr>
              <w:pStyle w:val="Compact"/>
              <w:jc w:val="right"/>
            </w:pPr>
            <w:r>
              <w:t xml:space="preserve">SUBTOTAL (PHP)</w:t>
            </w:r>
          </w:p>
        </w:tc>
        <w:tc>
          <w:tcPr/>
          <w:p>
            <w:pPr>
              <w:pStyle w:val="Compact"/>
              <w:jc w:val="left"/>
            </w:pPr>
            <w:r>
              <w:t xml:space="preserve">₱2,403,000.00</w:t>
            </w:r>
          </w:p>
        </w:tc>
      </w:tr>
      <w:tr>
        <w:tc>
          <w:tcPr>
            <w:gridSpan w:val="4"/>
          </w:tcPr>
          <w:p>
            <w:pPr>
              <w:pStyle w:val="Compact"/>
              <w:jc w:val="right"/>
            </w:pPr>
            <w:r>
              <w:t xml:space="preserve">VAT (12%)</w:t>
            </w:r>
          </w:p>
        </w:tc>
        <w:tc>
          <w:tcPr/>
          <w:p>
            <w:pPr>
              <w:pStyle w:val="Compact"/>
              <w:jc w:val="left"/>
            </w:pPr>
            <w:r>
              <w:t xml:space="preserve">₱288,360.00</w:t>
            </w:r>
          </w:p>
        </w:tc>
      </w:tr>
      <w:tr>
        <w:tc>
          <w:tcPr>
            <w:gridSpan w:val="4"/>
          </w:tcPr>
          <w:p>
            <w:pPr>
              <w:pStyle w:val="Compact"/>
              <w:jc w:val="right"/>
            </w:pPr>
            <w:r>
              <w:t xml:space="preserve">GRAND TOTAL (PHP)</w:t>
            </w:r>
          </w:p>
        </w:tc>
        <w:tc>
          <w:tcPr/>
          <w:p>
            <w:pPr>
              <w:pStyle w:val="Compact"/>
              <w:jc w:val="left"/>
            </w:pPr>
            <w:r>
              <w:t xml:space="preserve">₱2,691,360.00</w:t>
            </w:r>
          </w:p>
        </w:tc>
      </w:tr>
    </w:tbl>
    <w:p>
      <w:pPr>
        <w:pStyle w:val="BodyText"/>
      </w:pPr>
      <w:r>
        <w:t xml:space="preserve">* All amounts are quoted in Philippine Peso (PHP). VAT is computed at the standard 12% rate as mandated by the Bureau of Internal Revenue (BIR) for the Philippines Manila tax jurisdiction. This Quotation Estimate does not include 13th-month pay, SSS, PhilHealth, or Pag-IBIG contributions, which shall be borne separately by the service provider in accordance with Philippine labor law.</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for the Librarian services quoted herein are subject to revision based on prevailing market conditions in the Philippines Manila labor and professional services sector.</w:t>
      </w:r>
    </w:p>
    <w:p>
      <w:pPr>
        <w:numPr>
          <w:ilvl w:val="0"/>
          <w:numId w:val="1001"/>
        </w:numPr>
        <w:pStyle w:val="Compact"/>
      </w:pPr>
      <w:r>
        <w:t xml:space="preserve">Payment terms: 50% advance payment upon acceptance of this Quotation Estimate, and the remaining 50% shall be paid in two (2) equal quarterly installments. All payments shall be made via bank transfer to the designated account of Manila Knowledge Solutions, Inc. in the Philippines Manila banking district.</w:t>
      </w:r>
    </w:p>
    <w:p>
      <w:pPr>
        <w:numPr>
          <w:ilvl w:val="0"/>
          <w:numId w:val="1001"/>
        </w:numPr>
        <w:pStyle w:val="Compact"/>
      </w:pPr>
      <w:r>
        <w:t xml:space="preserve">All Librarian personnel deployed under this agreement shall be regular employees of Manila Knowledge Solutions, Inc., and shall be covered by the Philippine Labor Code (Presidential Decree No. 442), the Social Security System (SSS), PhilHealth, and the Pag-IBIG Fund as required by law in the Philippines Manila jurisdiction.</w:t>
      </w:r>
    </w:p>
    <w:p>
      <w:pPr>
        <w:numPr>
          <w:ilvl w:val="0"/>
          <w:numId w:val="1001"/>
        </w:numPr>
        <w:pStyle w:val="Compact"/>
      </w:pPr>
      <w:r>
        <w:t xml:space="preserve">The service period shall commence within fifteen (15) business days from the date of full advance payment receipt. The Librarian team shall report to the designated facility in the Philippines Manila area as specified in the client's acceptance letter.</w:t>
      </w:r>
    </w:p>
    <w:p>
      <w:pPr>
        <w:numPr>
          <w:ilvl w:val="0"/>
          <w:numId w:val="1001"/>
        </w:numPr>
        <w:pStyle w:val="Compact"/>
      </w:pPr>
      <w:r>
        <w:t xml:space="preserve">Any changes in scope, additional Librarian headcount, or modifications to the service location within the Philippines Manila metropolitan area must be documented in a written Change Order signed by both parties before implementation.</w:t>
      </w:r>
    </w:p>
    <w:p>
      <w:pPr>
        <w:numPr>
          <w:ilvl w:val="0"/>
          <w:numId w:val="1001"/>
        </w:numPr>
        <w:pStyle w:val="Compact"/>
      </w:pPr>
      <w:r>
        <w:t xml:space="preserve">This Quotation Estimate does not constitute a binding contract until a formal Service Agreement is executed by both parties. The terms herein are preliminary and subject to final negotiation.</w:t>
      </w:r>
    </w:p>
    <w:p>
      <w:pPr>
        <w:numPr>
          <w:ilvl w:val="0"/>
          <w:numId w:val="1001"/>
        </w:numPr>
        <w:pStyle w:val="Compact"/>
      </w:pPr>
      <w:r>
        <w:t xml:space="preserve">Confidentiality: All Librarian personnel shall sign a Non-Disclosure Agreement (NDA) in compliance with the Data Privacy Act of 2012. Sensitive patron records and institutional data handled in the Philippines Manila facility shall be protected under this provision.</w:t>
      </w:r>
    </w:p>
    <w:p>
      <w:pPr>
        <w:numPr>
          <w:ilvl w:val="0"/>
          <w:numId w:val="1001"/>
        </w:numPr>
        <w:pStyle w:val="Compact"/>
      </w:pPr>
      <w:r>
        <w:t xml:space="preserve">Dispute resolution: Any disputes arising from this Quotation Estimate or the subsequent service delivery shall be resolved through amicable negotiation. If unresolved, the matter shall be submitted to the Philippine Arbitration Act (Republic Act No. 8762) with venue in the Philippines Manila courts.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Philippines Manila</w:t>
      </w:r>
      <w:r>
        <w:t xml:space="preserve"> </w:t>
      </w:r>
      <w:r>
        <w:t xml:space="preserve">and agrees to the terms stated herein. This acceptance does not yet constitute a binding contract but serves as the client's formal expression of intent to proceed with the engagement.</w:t>
      </w:r>
    </w:p>
    <w:p>
      <w:pPr>
        <w:pStyle w:val="BodyText"/>
      </w:pPr>
      <w:r>
        <w:rPr>
          <w:bCs/>
          <w:b/>
        </w:rPr>
        <w:t xml:space="preserve">For Manila Knowledge Solutions, Inc.</w:t>
      </w:r>
    </w:p>
    <w:p>
      <w:pPr>
        <w:pStyle w:val="BodyText"/>
      </w:pPr>
      <w:r>
        <w:t xml:space="preserve">Engr. Rafael D. Cruz</w:t>
      </w:r>
      <w:r>
        <w:br/>
      </w:r>
      <w:r>
        <w:t xml:space="preserve">Account Manager</w:t>
      </w:r>
      <w:r>
        <w:br/>
      </w:r>
      <w:r>
        <w:t xml:space="preserve">Date: _______________</w:t>
      </w:r>
    </w:p>
    <w:p>
      <w:pPr>
        <w:pStyle w:val="BodyText"/>
      </w:pPr>
      <w:r>
        <w:rPr>
          <w:bCs/>
          <w:b/>
        </w:rPr>
        <w:t xml:space="preserve">For the Client (University of the Philippines Library)</w:t>
      </w:r>
    </w:p>
    <w:p>
      <w:pPr>
        <w:pStyle w:val="BodyText"/>
      </w:pPr>
      <w:r>
        <w:t xml:space="preserve">Dr. Maria Santos</w:t>
      </w:r>
      <w:r>
        <w:br/>
      </w:r>
      <w:r>
        <w:t xml:space="preserve">Dean of Library Services</w:t>
      </w:r>
      <w:r>
        <w:br/>
      </w:r>
      <w:r>
        <w:t xml:space="preserve">Date: _______________</w:t>
      </w:r>
    </w:p>
    <w:p>
      <w:pPr>
        <w:pStyle w:val="BodyText"/>
      </w:pPr>
      <w:r>
        <w:rPr>
          <w:bCs/>
          <w:b/>
        </w:rPr>
        <w:t xml:space="preserve">Manila Knowledge Solutions, Inc.</w:t>
      </w:r>
      <w:r>
        <w:t xml:space="preserve"> </w:t>
      </w:r>
      <w:r>
        <w:t xml:space="preserve">— Professional Librarian &amp; Information Services Provider</w:t>
      </w:r>
    </w:p>
    <w:p>
      <w:pPr>
        <w:pStyle w:val="BodyText"/>
      </w:pPr>
      <w:r>
        <w:t xml:space="preserve">128 Ayala Avenue, Makati City, Philippines Manila 1226 | BIR TIN: 000-123-456-789 | DTI Reg. No.: 201912345678</w:t>
      </w:r>
    </w:p>
    <w:p>
      <w:pPr>
        <w:pStyle w:val="BodyText"/>
      </w:pPr>
      <w:r>
        <w:t xml:space="preserve">This Quotation Estimate document is generated electronically and is valid without a physical seal. Reference No.: MKS-2025-00472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Philippines Manila</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