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quotation-estimate"/>
    <w:p>
      <w:pPr>
        <w:pStyle w:val="Heading1"/>
      </w:pPr>
      <w:r>
        <w:t xml:space="preserve">Quotation Estimate</w:t>
      </w:r>
    </w:p>
    <w:p>
      <w:pPr>
        <w:pStyle w:val="FirstParagraph"/>
      </w:pPr>
      <w:r>
        <w:rPr>
          <w:bCs/>
          <w:b/>
        </w:rPr>
        <w:t xml:space="preserve">PT Nusantara Marine Engineering Solutions</w:t>
      </w:r>
    </w:p>
    <w:p>
      <w:pPr>
        <w:pStyle w:val="BodyText"/>
      </w:pPr>
      <w:r>
        <w:t xml:space="preserve">Jl. Jend. Sudirman Kav. 52-53, SCBD District, Jakarta Selatan, Indonesia Jakarta 12190</w:t>
      </w:r>
    </w:p>
    <w:p>
      <w:pPr>
        <w:pStyle w:val="BodyText"/>
      </w:pPr>
      <w:r>
        <w:t xml:space="preserve">Tel: +62-21-5790-4455 | Email: quotations@nusantamarine.co.id</w:t>
      </w:r>
    </w:p>
    <w:p>
      <w:pPr>
        <w:pStyle w:val="BodyText"/>
      </w:pPr>
      <w:r>
        <w:t xml:space="preserve">Company Registration No: 01.234.567.890 | NPWP: 02.345.678.9-012.000</w:t>
      </w:r>
    </w:p>
    <w:bookmarkEnd w:id="20"/>
    <w:p>
      <w:pPr>
        <w:pStyle w:val="BodyText"/>
      </w:pPr>
      <w:r>
        <w:rPr>
          <w:bCs/>
          <w:b/>
        </w:rPr>
        <w:t xml:space="preserve">Quotation No:</w:t>
      </w:r>
      <w:r>
        <w:t xml:space="preserve"> </w:t>
      </w:r>
      <w:r>
        <w:t xml:space="preserve">QTE/ME/JKT/2025/0047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PT Samudera Shipping Lines</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PT Nusantara Marine Engineering Solutions to PT Samudera Shipping Lines, with operations based in</w:t>
      </w:r>
      <w:r>
        <w:t xml:space="preserve"> </w:t>
      </w:r>
      <w:r>
        <w:t xml:space="preserve">Indonesia Jakarta</w:t>
      </w:r>
      <w:r>
        <w:t xml:space="preserve">, to provide a comprehensive and itemized cost breakdown for the engagement of a qualified</w:t>
      </w:r>
      <w:r>
        <w:t xml:space="preserve"> </w:t>
      </w:r>
      <w:r>
        <w:t xml:space="preserve">Marine Engineer</w:t>
      </w:r>
      <w:r>
        <w:t xml:space="preserve"> </w:t>
      </w:r>
      <w:r>
        <w:t xml:space="preserve">to perform vessel maintenance, mechanical system inspection, and technical advisory services. This document serves as the official pricing reference and forms the basis for contractual agreement between both parties. All figures presented in this</w:t>
      </w:r>
      <w:r>
        <w:t xml:space="preserve"> </w:t>
      </w:r>
      <w:r>
        <w:t xml:space="preserve">Quotation Estimate</w:t>
      </w:r>
      <w:r>
        <w:t xml:space="preserve"> </w:t>
      </w:r>
      <w:r>
        <w:t xml:space="preserve">are calculated in Indonesian Rupiah (IDR) and reflect current market rates applicable to the</w:t>
      </w:r>
      <w:r>
        <w:t xml:space="preserve"> </w:t>
      </w:r>
      <w:r>
        <w:t xml:space="preserve">Indonesia Jakarta</w:t>
      </w:r>
      <w:r>
        <w:t xml:space="preserve"> </w:t>
      </w:r>
      <w:r>
        <w:t xml:space="preserve">port and industrial zone as of the date of issuance.</w:t>
      </w:r>
    </w:p>
    <w:bookmarkEnd w:id="21"/>
    <w:bookmarkStart w:id="22" w:name="X47386a29dcb7c24c243eabb3360202869779343"/>
    <w:p>
      <w:pPr>
        <w:pStyle w:val="Heading2"/>
      </w:pPr>
      <w:r>
        <w:t xml:space="preserve">2. Scope of Services – Marine Engineer Engagement</w:t>
      </w:r>
    </w:p>
    <w:p>
      <w:pPr>
        <w:pStyle w:val="FirstParagraph"/>
      </w:pPr>
      <w:r>
        <w:t xml:space="preserve">The</w:t>
      </w:r>
      <w:r>
        <w:t xml:space="preserve"> </w:t>
      </w:r>
      <w:r>
        <w:t xml:space="preserve">Marine Engineer</w:t>
      </w:r>
      <w:r>
        <w:t xml:space="preserve"> </w:t>
      </w:r>
      <w:r>
        <w:t xml:space="preserve">to be deployed under this</w:t>
      </w:r>
      <w:r>
        <w:t xml:space="preserve"> </w:t>
      </w:r>
      <w:r>
        <w:t xml:space="preserve">Quotation Estimate</w:t>
      </w:r>
      <w:r>
        <w:t xml:space="preserve"> </w:t>
      </w:r>
      <w:r>
        <w:t xml:space="preserve">shall hold a valid Certificate of Competency (CoC) issued by the Directorate General of Sea Transportation, Ministry of Transportation of the Republic of Indonesia. The</w:t>
      </w:r>
      <w:r>
        <w:t xml:space="preserve"> </w:t>
      </w:r>
      <w:r>
        <w:t xml:space="preserve">Marine Engineer</w:t>
      </w:r>
      <w:r>
        <w:t xml:space="preserve"> </w:t>
      </w:r>
      <w:r>
        <w:t xml:space="preserve">will be responsible for the following duties while stationed at the client's facility in</w:t>
      </w:r>
      <w:r>
        <w:t xml:space="preserve"> </w:t>
      </w:r>
      <w:r>
        <w:t xml:space="preserve">Indonesia Jakarta</w:t>
      </w:r>
      <w:r>
        <w:t xml:space="preserve">:</w:t>
      </w:r>
    </w:p>
    <w:p>
      <w:pPr>
        <w:numPr>
          <w:ilvl w:val="0"/>
          <w:numId w:val="1001"/>
        </w:numPr>
        <w:pStyle w:val="Compact"/>
      </w:pPr>
      <w:r>
        <w:t xml:space="preserve">Conducting scheduled and unscheduled maintenance of main engines, auxiliary engines, and associated mechanical systems aboard vessels berthed at Jakarta Port (Tanjung Priok).</w:t>
      </w:r>
    </w:p>
    <w:p>
      <w:pPr>
        <w:numPr>
          <w:ilvl w:val="0"/>
          <w:numId w:val="1001"/>
        </w:numPr>
        <w:pStyle w:val="Compact"/>
      </w:pPr>
      <w:r>
        <w:t xml:space="preserve">Performing detailed inspections of boiler systems, cooling water circuits, lubrication systems, and exhaust treatment units in compliance with IMO and Indonesian maritime regulations.</w:t>
      </w:r>
    </w:p>
    <w:p>
      <w:pPr>
        <w:numPr>
          <w:ilvl w:val="0"/>
          <w:numId w:val="1001"/>
        </w:numPr>
        <w:pStyle w:val="Compact"/>
      </w:pPr>
      <w:r>
        <w:t xml:space="preserve">Providing technical advisory and troubleshooting support to the vessel's engineering crew during port stays in</w:t>
      </w:r>
      <w:r>
        <w:t xml:space="preserve"> </w:t>
      </w:r>
      <w:r>
        <w:t xml:space="preserve">Indonesia Jakarta</w:t>
      </w:r>
      <w:r>
        <w:t xml:space="preserve">.</w:t>
      </w:r>
    </w:p>
    <w:p>
      <w:pPr>
        <w:numPr>
          <w:ilvl w:val="0"/>
          <w:numId w:val="1001"/>
        </w:numPr>
        <w:pStyle w:val="Compact"/>
      </w:pPr>
      <w:r>
        <w:t xml:space="preserve">Preparing and submitting maintenance reports, defect logs, and recommended corrective action plans to the client's operations management within 48 hours of each inspection cycle.</w:t>
      </w:r>
    </w:p>
    <w:p>
      <w:pPr>
        <w:numPr>
          <w:ilvl w:val="0"/>
          <w:numId w:val="1001"/>
        </w:numPr>
        <w:pStyle w:val="Compact"/>
      </w:pPr>
      <w:r>
        <w:t xml:space="preserve">Coordinating with shipyard contractors and spare parts suppliers in the</w:t>
      </w:r>
      <w:r>
        <w:t xml:space="preserve"> </w:t>
      </w:r>
      <w:r>
        <w:t xml:space="preserve">Indonesia Jakarta</w:t>
      </w:r>
      <w:r>
        <w:t xml:space="preserve"> </w:t>
      </w:r>
      <w:r>
        <w:t xml:space="preserve">area to ensure timely procurement and installation of replacement components.</w:t>
      </w:r>
    </w:p>
    <w:p>
      <w:pPr>
        <w:numPr>
          <w:ilvl w:val="0"/>
          <w:numId w:val="1001"/>
        </w:numPr>
        <w:pStyle w:val="Compact"/>
      </w:pPr>
      <w:r>
        <w:t xml:space="preserve">Ensuring all work performed adheres to the International Safety Management (ISM) Code and local Indonesian maritime safety standards.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Monthly professional fee – Senior</w:t>
            </w:r>
            <w:r>
              <w:t xml:space="preserve"> </w:t>
            </w:r>
            <w:r>
              <w:t xml:space="preserve">Marine Engineer</w:t>
            </w:r>
            <w:r>
              <w:t xml:space="preserve"> </w:t>
            </w:r>
            <w:r>
              <w:t xml:space="preserve">(CoC Class I, 10+ years experience)</w:t>
            </w:r>
          </w:p>
        </w:tc>
        <w:tc>
          <w:tcPr/>
          <w:p>
            <w:pPr>
              <w:pStyle w:val="Compact"/>
              <w:jc w:val="left"/>
            </w:pPr>
            <w:r>
              <w:t xml:space="preserve">1</w:t>
            </w:r>
          </w:p>
        </w:tc>
        <w:tc>
          <w:tcPr/>
          <w:p>
            <w:pPr>
              <w:pStyle w:val="Compact"/>
              <w:jc w:val="left"/>
            </w:pPr>
            <w:r>
              <w:t xml:space="preserve">Month</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t xml:space="preserve">Accommodation and living allowance in</w:t>
            </w:r>
            <w:r>
              <w:t xml:space="preserve"> </w:t>
            </w:r>
            <w:r>
              <w:t xml:space="preserve">Indonesia Jakarta</w:t>
            </w:r>
            <w:r>
              <w:t xml:space="preserve"> </w:t>
            </w:r>
            <w:r>
              <w:t xml:space="preserve">(3-bedroom apartment, South Jakarta)</w:t>
            </w:r>
          </w:p>
        </w:tc>
        <w:tc>
          <w:tcPr/>
          <w:p>
            <w:pPr>
              <w:pStyle w:val="Compact"/>
              <w:jc w:val="left"/>
            </w:pPr>
            <w:r>
              <w:t xml:space="preserve">1</w:t>
            </w:r>
          </w:p>
        </w:tc>
        <w:tc>
          <w:tcPr/>
          <w:p>
            <w:pPr>
              <w:pStyle w:val="Compact"/>
              <w:jc w:val="left"/>
            </w:pPr>
            <w:r>
              <w:t xml:space="preserve">Month</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3</w:t>
            </w:r>
          </w:p>
        </w:tc>
        <w:tc>
          <w:tcPr/>
          <w:p>
            <w:pPr>
              <w:pStyle w:val="Compact"/>
              <w:jc w:val="left"/>
            </w:pPr>
            <w:r>
              <w:t xml:space="preserve">Local transportation and port access (vehicle, fuel, parking at Tanjung Priok)</w:t>
            </w:r>
          </w:p>
        </w:tc>
        <w:tc>
          <w:tcPr/>
          <w:p>
            <w:pPr>
              <w:pStyle w:val="Compact"/>
              <w:jc w:val="left"/>
            </w:pPr>
            <w:r>
              <w:t xml:space="preserve">1</w:t>
            </w:r>
          </w:p>
        </w:tc>
        <w:tc>
          <w:tcPr/>
          <w:p>
            <w:pPr>
              <w:pStyle w:val="Compact"/>
              <w:jc w:val="left"/>
            </w:pPr>
            <w:r>
              <w:t xml:space="preserve">Month</w:t>
            </w:r>
          </w:p>
        </w:tc>
        <w:tc>
          <w:tcPr/>
          <w:p>
            <w:pPr>
              <w:pStyle w:val="Compact"/>
              <w:jc w:val="left"/>
            </w:pPr>
            <w:r>
              <w:t xml:space="preserve">5,500,000</w:t>
            </w:r>
          </w:p>
        </w:tc>
        <w:tc>
          <w:tcPr/>
          <w:p>
            <w:pPr>
              <w:pStyle w:val="Compact"/>
              <w:jc w:val="left"/>
            </w:pPr>
            <w:r>
              <w:t xml:space="preserve">5,500,000</w:t>
            </w:r>
          </w:p>
        </w:tc>
      </w:tr>
      <w:tr>
        <w:tc>
          <w:tcPr/>
          <w:p>
            <w:pPr>
              <w:pStyle w:val="Compact"/>
              <w:jc w:val="left"/>
            </w:pPr>
            <w:r>
              <w:t xml:space="preserve">4</w:t>
            </w:r>
          </w:p>
        </w:tc>
        <w:tc>
          <w:tcPr/>
          <w:p>
            <w:pPr>
              <w:pStyle w:val="Compact"/>
              <w:jc w:val="left"/>
            </w:pPr>
            <w:r>
              <w:t xml:space="preserve">Personal protective equipment (PPE) and specialized marine diagnostic tools</w:t>
            </w:r>
          </w:p>
        </w:tc>
        <w:tc>
          <w:tcPr/>
          <w:p>
            <w:pPr>
              <w:pStyle w:val="Compact"/>
              <w:jc w:val="left"/>
            </w:pPr>
            <w:r>
              <w:t xml:space="preserve">1</w:t>
            </w:r>
          </w:p>
        </w:tc>
        <w:tc>
          <w:tcPr/>
          <w:p>
            <w:pPr>
              <w:pStyle w:val="Compact"/>
              <w:jc w:val="left"/>
            </w:pPr>
            <w:r>
              <w:t xml:space="preserve">Set</w:t>
            </w:r>
          </w:p>
        </w:tc>
        <w:tc>
          <w:tcPr/>
          <w:p>
            <w:pPr>
              <w:pStyle w:val="Compact"/>
              <w:jc w:val="left"/>
            </w:pPr>
            <w:r>
              <w:t xml:space="preserve">8,750,000</w:t>
            </w:r>
          </w:p>
        </w:tc>
        <w:tc>
          <w:tcPr/>
          <w:p>
            <w:pPr>
              <w:pStyle w:val="Compact"/>
              <w:jc w:val="left"/>
            </w:pPr>
            <w:r>
              <w:t xml:space="preserve">8,750,000</w:t>
            </w:r>
          </w:p>
        </w:tc>
      </w:tr>
      <w:tr>
        <w:tc>
          <w:tcPr/>
          <w:p>
            <w:pPr>
              <w:pStyle w:val="Compact"/>
              <w:jc w:val="left"/>
            </w:pPr>
            <w:r>
              <w:t xml:space="preserve">5</w:t>
            </w:r>
          </w:p>
        </w:tc>
        <w:tc>
          <w:tcPr/>
          <w:p>
            <w:pPr>
              <w:pStyle w:val="Compact"/>
              <w:jc w:val="left"/>
            </w:pPr>
            <w:r>
              <w:t xml:space="preserve">Technical documentation, software licenses, and engineering reference materials</w:t>
            </w:r>
          </w:p>
        </w:tc>
        <w:tc>
          <w:tcPr/>
          <w:p>
            <w:pPr>
              <w:pStyle w:val="Compact"/>
              <w:jc w:val="left"/>
            </w:pPr>
            <w:r>
              <w:t xml:space="preserve">1</w:t>
            </w:r>
          </w:p>
        </w:tc>
        <w:tc>
          <w:tcPr/>
          <w:p>
            <w:pPr>
              <w:pStyle w:val="Compact"/>
              <w:jc w:val="left"/>
            </w:pPr>
            <w:r>
              <w:t xml:space="preserve">Month</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6</w:t>
            </w:r>
          </w:p>
        </w:tc>
        <w:tc>
          <w:tcPr/>
          <w:p>
            <w:pPr>
              <w:pStyle w:val="Compact"/>
              <w:jc w:val="left"/>
            </w:pPr>
            <w:r>
              <w:t xml:space="preserve">Comprehensive health insurance and occupational accident coverage (BPJS Ketenagakerjaan + private)</w:t>
            </w:r>
          </w:p>
        </w:tc>
        <w:tc>
          <w:tcPr/>
          <w:p>
            <w:pPr>
              <w:pStyle w:val="Compact"/>
              <w:jc w:val="left"/>
            </w:pPr>
            <w:r>
              <w:t xml:space="preserve">1</w:t>
            </w:r>
          </w:p>
        </w:tc>
        <w:tc>
          <w:tcPr/>
          <w:p>
            <w:pPr>
              <w:pStyle w:val="Compact"/>
              <w:jc w:val="left"/>
            </w:pPr>
            <w:r>
              <w:t xml:space="preserve">Month</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7</w:t>
            </w:r>
          </w:p>
        </w:tc>
        <w:tc>
          <w:tcPr/>
          <w:p>
            <w:pPr>
              <w:pStyle w:val="Compact"/>
              <w:jc w:val="left"/>
            </w:pPr>
            <w:r>
              <w:t xml:space="preserve">Administrative and coordination fee (PT Nusantara Marine Engineering Solutions)</w:t>
            </w:r>
          </w:p>
        </w:tc>
        <w:tc>
          <w:tcPr/>
          <w:p>
            <w:pPr>
              <w:pStyle w:val="Compact"/>
              <w:jc w:val="left"/>
            </w:pPr>
            <w:r>
              <w:t xml:space="preserve">1</w:t>
            </w:r>
          </w:p>
        </w:tc>
        <w:tc>
          <w:tcPr/>
          <w:p>
            <w:pPr>
              <w:pStyle w:val="Compact"/>
              <w:jc w:val="left"/>
            </w:pPr>
            <w:r>
              <w:t xml:space="preserve">Month</w:t>
            </w:r>
          </w:p>
        </w:tc>
        <w:tc>
          <w:tcPr/>
          <w:p>
            <w:pPr>
              <w:pStyle w:val="Compact"/>
              <w:jc w:val="left"/>
            </w:pPr>
            <w:r>
              <w:t xml:space="preserve">6,000,000</w:t>
            </w:r>
          </w:p>
        </w:tc>
        <w:tc>
          <w:tcPr/>
          <w:p>
            <w:pPr>
              <w:pStyle w:val="Compact"/>
              <w:jc w:val="left"/>
            </w:pPr>
            <w:r>
              <w:t xml:space="preserve">6,000,000</w:t>
            </w:r>
          </w:p>
        </w:tc>
      </w:tr>
      <w:tr>
        <w:tc>
          <w:tcPr/>
          <w:p>
            <w:pPr>
              <w:pStyle w:val="Compact"/>
              <w:jc w:val="left"/>
            </w:pPr>
            <w:r>
              <w:t xml:space="preserve">8</w:t>
            </w:r>
          </w:p>
        </w:tc>
        <w:tc>
          <w:tcPr/>
          <w:p>
            <w:pPr>
              <w:pStyle w:val="Compact"/>
              <w:jc w:val="left"/>
            </w:pPr>
            <w:r>
              <w:t xml:space="preserve">Contingency allowance for emergency call-out and after-hours support in</w:t>
            </w:r>
            <w:r>
              <w:t xml:space="preserve"> </w:t>
            </w:r>
            <w:r>
              <w:t xml:space="preserve">Indonesia Jakarta</w:t>
            </w:r>
          </w:p>
        </w:tc>
        <w:tc>
          <w:tcPr/>
          <w:p>
            <w:pPr>
              <w:pStyle w:val="Compact"/>
              <w:jc w:val="left"/>
            </w:pPr>
            <w:r>
              <w:t xml:space="preserve">1</w:t>
            </w:r>
          </w:p>
        </w:tc>
        <w:tc>
          <w:tcPr/>
          <w:p>
            <w:pPr>
              <w:pStyle w:val="Compact"/>
              <w:jc w:val="left"/>
            </w:pPr>
            <w:r>
              <w:t xml:space="preserve">Month</w:t>
            </w:r>
          </w:p>
        </w:tc>
        <w:tc>
          <w:tcPr/>
          <w:p>
            <w:pPr>
              <w:pStyle w:val="Compact"/>
              <w:jc w:val="left"/>
            </w:pPr>
            <w:r>
              <w:t xml:space="preserve">4,500,000</w:t>
            </w:r>
          </w:p>
        </w:tc>
        <w:tc>
          <w:tcPr/>
          <w:p>
            <w:pPr>
              <w:pStyle w:val="Compact"/>
              <w:jc w:val="left"/>
            </w:pPr>
            <w:r>
              <w:t xml:space="preserve">4,500,000</w:t>
            </w:r>
          </w:p>
        </w:tc>
      </w:tr>
      <w:tr>
        <w:tc>
          <w:tcPr>
            <w:gridSpan w:val="5"/>
          </w:tcPr>
          <w:p>
            <w:pPr>
              <w:pStyle w:val="Compact"/>
              <w:jc w:val="right"/>
            </w:pPr>
            <w:r>
              <w:t xml:space="preserve">Subtotal (Monthly)</w:t>
            </w:r>
          </w:p>
        </w:tc>
        <w:tc>
          <w:tcPr/>
          <w:p>
            <w:pPr>
              <w:pStyle w:val="Compact"/>
              <w:jc w:val="left"/>
            </w:pPr>
            <w:r>
              <w:t xml:space="preserve">90,750,000</w:t>
            </w:r>
          </w:p>
        </w:tc>
      </w:tr>
      <w:tr>
        <w:tc>
          <w:tcPr>
            <w:gridSpan w:val="5"/>
          </w:tcPr>
          <w:p>
            <w:pPr>
              <w:pStyle w:val="Compact"/>
              <w:jc w:val="right"/>
            </w:pPr>
            <w:r>
              <w:t xml:space="preserve">VAT (PPN) 11%</w:t>
            </w:r>
          </w:p>
        </w:tc>
        <w:tc>
          <w:tcPr/>
          <w:p>
            <w:pPr>
              <w:pStyle w:val="Compact"/>
              <w:jc w:val="left"/>
            </w:pPr>
            <w:r>
              <w:t xml:space="preserve">9,982,500</w:t>
            </w:r>
          </w:p>
        </w:tc>
      </w:tr>
      <w:tr>
        <w:tc>
          <w:tcPr>
            <w:gridSpan w:val="5"/>
          </w:tcPr>
          <w:p>
            <w:pPr>
              <w:pStyle w:val="Compact"/>
              <w:jc w:val="right"/>
            </w:pPr>
            <w:r>
              <w:t xml:space="preserve">TOTAL MONTHLY AMOUNT (IDR)</w:t>
            </w:r>
          </w:p>
        </w:tc>
        <w:tc>
          <w:tcPr/>
          <w:p>
            <w:pPr>
              <w:pStyle w:val="Compact"/>
              <w:jc w:val="left"/>
            </w:pPr>
            <w:r>
              <w:t xml:space="preserve">100,732,500</w:t>
            </w:r>
          </w:p>
        </w:tc>
      </w:tr>
      <w:tr>
        <w:tc>
          <w:tcPr>
            <w:gridSpan w:val="5"/>
          </w:tcPr>
          <w:p>
            <w:pPr>
              <w:pStyle w:val="Compact"/>
              <w:jc w:val="right"/>
            </w:pPr>
            <w:r>
              <w:t xml:space="preserve">TOTAL FOR 12-MONTH CONTRACT (IDR)</w:t>
            </w:r>
          </w:p>
        </w:tc>
        <w:tc>
          <w:tcPr/>
          <w:p>
            <w:pPr>
              <w:pStyle w:val="Compact"/>
              <w:jc w:val="left"/>
            </w:pPr>
            <w:r>
              <w:t xml:space="preserve">1,208,790,000</w:t>
            </w:r>
          </w:p>
        </w:tc>
      </w:tr>
    </w:tbl>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issuance. Beyond this period, pricing may be subject to revision due to market fluctuations in the</w:t>
      </w:r>
      <w:r>
        <w:t xml:space="preserve"> </w:t>
      </w:r>
      <w:r>
        <w:t xml:space="preserve">Indonesia Jakarta</w:t>
      </w:r>
      <w:r>
        <w:t xml:space="preserve"> </w:t>
      </w:r>
      <w:r>
        <w:t xml:space="preserve">labor and services sector.</w:t>
      </w:r>
    </w:p>
    <w:p>
      <w:pPr>
        <w:numPr>
          <w:ilvl w:val="0"/>
          <w:numId w:val="1002"/>
        </w:numPr>
        <w:pStyle w:val="Compact"/>
      </w:pPr>
      <w:r>
        <w:t xml:space="preserve">Payment terms: 50% of the monthly fee shall be due on the 1st of each month, and the remaining 50% on the 15th, via bank transfer to the account designated by PT Nusantara Marine Engineering Solutions.</w:t>
      </w:r>
    </w:p>
    <w:p>
      <w:pPr>
        <w:numPr>
          <w:ilvl w:val="0"/>
          <w:numId w:val="1002"/>
        </w:numPr>
        <w:pStyle w:val="Compact"/>
      </w:pPr>
      <w:r>
        <w:t xml:space="preserve">The</w:t>
      </w:r>
      <w:r>
        <w:t xml:space="preserve"> </w:t>
      </w:r>
      <w:r>
        <w:t xml:space="preserve">Marine Engineer</w:t>
      </w:r>
      <w:r>
        <w:t xml:space="preserve"> </w:t>
      </w:r>
      <w:r>
        <w:t xml:space="preserve">shall work a standard schedule of 40 hours per week (Monday to Friday, 08:00–17:00 WIB), with availability for emergency call-outs as specified in Item 8 of the cost breakdown.</w:t>
      </w:r>
    </w:p>
    <w:p>
      <w:pPr>
        <w:numPr>
          <w:ilvl w:val="0"/>
          <w:numId w:val="1002"/>
        </w:numPr>
        <w:pStyle w:val="Compact"/>
      </w:pPr>
      <w:r>
        <w:t xml:space="preserve">Any additional services beyond the scope defined in Section 2 shall be subject to a separate supplementary</w:t>
      </w:r>
      <w:r>
        <w:t xml:space="preserve"> </w:t>
      </w:r>
      <w:r>
        <w:t xml:space="preserve">Quotation Estimate</w:t>
      </w:r>
      <w:r>
        <w:t xml:space="preserve"> </w:t>
      </w:r>
      <w:r>
        <w:t xml:space="preserve">issued by our office prior to commencement of such work.</w:t>
      </w:r>
    </w:p>
    <w:p>
      <w:pPr>
        <w:numPr>
          <w:ilvl w:val="0"/>
          <w:numId w:val="1002"/>
        </w:numPr>
        <w:pStyle w:val="Compact"/>
      </w:pPr>
      <w:r>
        <w:t xml:space="preserve">The client reserves the right to request a replacement</w:t>
      </w:r>
      <w:r>
        <w:t xml:space="preserve"> </w:t>
      </w:r>
      <w:r>
        <w:t xml:space="preserve">Marine Engineer</w:t>
      </w:r>
      <w:r>
        <w:t xml:space="preserve"> </w:t>
      </w:r>
      <w:r>
        <w:t xml:space="preserve">of equivalent or higher qualification with a minimum of fourteen (14) days' written notice.</w:t>
      </w:r>
    </w:p>
    <w:p>
      <w:pPr>
        <w:numPr>
          <w:ilvl w:val="0"/>
          <w:numId w:val="1002"/>
        </w:numPr>
        <w:pStyle w:val="Compact"/>
      </w:pPr>
      <w:r>
        <w:t xml:space="preserve">All work performed by the</w:t>
      </w:r>
      <w:r>
        <w:t xml:space="preserve"> </w:t>
      </w:r>
      <w:r>
        <w:t xml:space="preserve">Marine Engineer</w:t>
      </w:r>
      <w:r>
        <w:t xml:space="preserve"> </w:t>
      </w:r>
      <w:r>
        <w:t xml:space="preserve">in</w:t>
      </w:r>
      <w:r>
        <w:t xml:space="preserve"> </w:t>
      </w:r>
      <w:r>
        <w:t xml:space="preserve">Indonesia Jakarta</w:t>
      </w:r>
      <w:r>
        <w:t xml:space="preserve"> </w:t>
      </w:r>
      <w:r>
        <w:t xml:space="preserve">shall be governed by the laws of the Republic of Indonesia, and any disputes shall be resolved through the Jakarta District Court.</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Agreement document.</w:t>
      </w:r>
    </w:p>
    <w:p>
      <w:pPr>
        <w:numPr>
          <w:ilvl w:val="0"/>
          <w:numId w:val="1002"/>
        </w:numPr>
        <w:pStyle w:val="Compact"/>
      </w:pPr>
      <w:r>
        <w:t xml:space="preserve">Confidentiality: All technical data, vessel specifications, and operational information accessed by the</w:t>
      </w:r>
      <w:r>
        <w:t xml:space="preserve"> </w:t>
      </w:r>
      <w:r>
        <w:t xml:space="preserve">Marine Engineer</w:t>
      </w:r>
      <w:r>
        <w:t xml:space="preserve"> </w:t>
      </w:r>
      <w:r>
        <w:t xml:space="preserve">during the engagement shall remain the exclusive property of the client.</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assumes the</w:t>
      </w:r>
      <w:r>
        <w:t xml:space="preserve"> </w:t>
      </w:r>
      <w:r>
        <w:t xml:space="preserve">Marine Engineer</w:t>
      </w:r>
      <w:r>
        <w:t xml:space="preserve"> </w:t>
      </w:r>
      <w:r>
        <w:t xml:space="preserve">will be based in the South Jakarta area with primary access to Tanjung Priok Port. Should the client require the</w:t>
      </w:r>
      <w:r>
        <w:t xml:space="preserve"> </w:t>
      </w:r>
      <w:r>
        <w:t xml:space="preserve">Marine Engineer</w:t>
      </w:r>
      <w:r>
        <w:t xml:space="preserve"> </w:t>
      </w:r>
      <w:r>
        <w:t xml:space="preserve">to be stationed at an alternative location within the</w:t>
      </w:r>
      <w:r>
        <w:t xml:space="preserve"> </w:t>
      </w:r>
      <w:r>
        <w:t xml:space="preserve">Indonesia Jakarta</w:t>
      </w:r>
      <w:r>
        <w:t xml:space="preserve"> </w:t>
      </w:r>
      <w:r>
        <w:t xml:space="preserve">metropolitan area (e.g., Tanjung Perak satellite office or Cilegon industrial zone), additional transportation and accommodation costs will be itemized in a revised</w:t>
      </w:r>
      <w:r>
        <w:t xml:space="preserve"> </w:t>
      </w:r>
      <w:r>
        <w:t xml:space="preserve">Quotation Estimate</w:t>
      </w:r>
      <w:r>
        <w:t xml:space="preserve">.</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that this</w:t>
      </w:r>
      <w:r>
        <w:t xml:space="preserve"> </w:t>
      </w:r>
      <w:r>
        <w:t xml:space="preserve">Quotation Estimate</w:t>
      </w:r>
      <w:r>
        <w:t xml:space="preserve"> </w:t>
      </w:r>
      <w:r>
        <w:t xml:space="preserve">for</w:t>
      </w:r>
      <w:r>
        <w:t xml:space="preserve"> </w:t>
      </w:r>
      <w:r>
        <w:t xml:space="preserve">Marine Engineer</w:t>
      </w:r>
      <w:r>
        <w:t xml:space="preserve"> </w:t>
      </w:r>
      <w:r>
        <w:t xml:space="preserve">services in</w:t>
      </w:r>
      <w:r>
        <w:t xml:space="preserve"> </w:t>
      </w:r>
      <w:r>
        <w:t xml:space="preserve">Indonesia Jakarta</w:t>
      </w:r>
      <w:r>
        <w:t xml:space="preserve"> </w:t>
      </w:r>
      <w:r>
        <w:t xml:space="preserve">has been reviewed, understood, and accepted as the basis for the forthcoming Service Agreement.</w:t>
      </w:r>
    </w:p>
    <w:p>
      <w:pPr>
        <w:pStyle w:val="BodyText"/>
      </w:pPr>
      <w:r>
        <w:rPr>
          <w:bCs/>
          <w:b/>
        </w:rPr>
        <w:t xml:space="preserve">For and on behalf of:</w:t>
      </w:r>
      <w:r>
        <w:br/>
      </w:r>
      <w:r>
        <w:t xml:space="preserve">PT Nusantara Marine Engineering Solutions</w:t>
      </w:r>
    </w:p>
    <w:p>
      <w:pPr>
        <w:pStyle w:val="BodyText"/>
      </w:pPr>
      <w:r>
        <w:t xml:space="preserve">Name: Ir. Bambang Sutrisno, M.Mar.E</w:t>
      </w:r>
      <w:r>
        <w:br/>
      </w:r>
      <w:r>
        <w:t xml:space="preserve">Position: Director of Marine Operations</w:t>
      </w:r>
      <w:r>
        <w:br/>
      </w:r>
      <w:r>
        <w:t xml:space="preserve">Signature &amp; Company Stamp</w:t>
      </w:r>
    </w:p>
    <w:p>
      <w:pPr>
        <w:pStyle w:val="BodyText"/>
      </w:pPr>
      <w:r>
        <w:rPr>
          <w:bCs/>
          <w:b/>
        </w:rPr>
        <w:t xml:space="preserve">For and on behalf of:</w:t>
      </w:r>
      <w:r>
        <w:br/>
      </w:r>
      <w:r>
        <w:t xml:space="preserve">PT Samudera Shipping Lines</w:t>
      </w:r>
    </w:p>
    <w:p>
      <w:pPr>
        <w:pStyle w:val="BodyText"/>
      </w:pPr>
      <w:r>
        <w:t xml:space="preserve">Name: ___________________________</w:t>
      </w:r>
      <w:r>
        <w:br/>
      </w:r>
      <w:r>
        <w:t xml:space="preserve">Position: _________________________</w:t>
      </w:r>
      <w:r>
        <w:br/>
      </w:r>
      <w:r>
        <w:t xml:space="preserve">Signature &amp; Company Stamp</w:t>
      </w:r>
    </w:p>
    <w:p>
      <w:pPr>
        <w:pStyle w:val="BodyText"/>
      </w:pPr>
      <w:r>
        <w:t xml:space="preserve">PT Nusantara Marine Engineering Solutions | Quotation Estimate QTE/ME/JKT/2025/0047 | Indonesia Jakarta</w:t>
      </w:r>
    </w:p>
    <w:p>
      <w:pPr>
        <w:pStyle w:val="BodyText"/>
      </w:pPr>
      <w:r>
        <w:t xml:space="preserve">This document is generated electronically and is valid without a physical stamp. For verification, contact quotations@nusantamarine.co.id.</w:t>
      </w:r>
    </w:p>
    <w:p>
      <w:pPr>
        <w:pStyle w:val="BodyText"/>
      </w:pPr>
      <w:r>
        <w:t xml:space="preserve">© 2025 PT Nusantara Marine Engineering Solutions.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Marine Engineer Services - Indonesia Jakarta</dc:title>
  <dc:creator/>
  <dc:language>en</dc:language>
  <cp:keywords/>
  <dcterms:created xsi:type="dcterms:W3CDTF">2026-10-10T08:02:54Z</dcterms:created>
  <dcterms:modified xsi:type="dcterms:W3CDTF">2026-10-10T08:02:54Z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