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Marine Engineer Services — Russia Moscow Region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QTE-RM-2025-04782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Russian Ruble (RUB) / USD</w:t>
            </w:r>
          </w:p>
        </w:tc>
      </w:tr>
      <w:tr>
        <w:tc>
          <w:tcPr/>
          <w:p>
            <w:pPr>
              <w:pStyle w:val="Compact"/>
              <w:jc w:val="left"/>
            </w:pPr>
            <w:r>
              <w:t xml:space="preserve">Prepared By</w:t>
            </w:r>
          </w:p>
        </w:tc>
        <w:tc>
          <w:tcPr/>
          <w:p>
            <w:pPr>
              <w:pStyle w:val="Compact"/>
              <w:jc w:val="left"/>
            </w:pPr>
            <w:r>
              <w:t xml:space="preserve">Arctic Marine Engineering Solutions LLC</w:t>
            </w:r>
          </w:p>
        </w:tc>
        <w:tc>
          <w:tcPr/>
          <w:p>
            <w:pPr>
              <w:pStyle w:val="Compact"/>
              <w:jc w:val="left"/>
            </w:pPr>
            <w:r>
              <w:t xml:space="preserve">Project Location</w:t>
            </w:r>
          </w:p>
        </w:tc>
        <w:tc>
          <w:tcPr/>
          <w:p>
            <w:pPr>
              <w:pStyle w:val="Compact"/>
              <w:jc w:val="left"/>
            </w:pPr>
            <w:r>
              <w:t xml:space="preserve">Russia Moscow, 115035, Tverskaya St. 12</w:t>
            </w:r>
          </w:p>
        </w:tc>
      </w:tr>
      <w:tr>
        <w:tc>
          <w:tcPr/>
          <w:p>
            <w:pPr>
              <w:pStyle w:val="Compact"/>
              <w:jc w:val="left"/>
            </w:pPr>
            <w:r>
              <w:t xml:space="preserve">Client</w:t>
            </w:r>
          </w:p>
        </w:tc>
        <w:tc>
          <w:tcPr/>
          <w:p>
            <w:pPr>
              <w:pStyle w:val="Compact"/>
              <w:jc w:val="left"/>
            </w:pPr>
            <w:r>
              <w:t xml:space="preserve">Volga River Shipping Consortium JSC</w:t>
            </w:r>
          </w:p>
        </w:tc>
        <w:tc>
          <w:tcPr/>
          <w:p>
            <w:pPr>
              <w:pStyle w:val="Compact"/>
              <w:jc w:val="left"/>
            </w:pPr>
            <w:r>
              <w:t xml:space="preserve">Contact Person</w:t>
            </w:r>
          </w:p>
        </w:tc>
        <w:tc>
          <w:tcPr/>
          <w:p>
            <w:pPr>
              <w:pStyle w:val="Compact"/>
              <w:jc w:val="left"/>
            </w:pPr>
            <w:r>
              <w:t xml:space="preserve">Mr. Dmitry Kovalenko, Chief Operations Officer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Arctic Marine Engineering Solutions LLC to provide a comprehensive and itemized financial proposal for the engagement of a certified</w:t>
      </w:r>
      <w:r>
        <w:t xml:space="preserve"> </w:t>
      </w:r>
      <w:r>
        <w:t xml:space="preserve">Marine Engineer</w:t>
      </w:r>
      <w:r>
        <w:t xml:space="preserve"> </w:t>
      </w:r>
      <w:r>
        <w:t xml:space="preserve">to perform inspection, maintenance, and technical advisory services for the client's commercial vessel fleet operating within the</w:t>
      </w:r>
      <w:r>
        <w:t xml:space="preserve"> </w:t>
      </w:r>
      <w:r>
        <w:t xml:space="preserve">Russia Moscow</w:t>
      </w:r>
      <w:r>
        <w:t xml:space="preserve"> </w:t>
      </w:r>
      <w:r>
        <w:t xml:space="preserve">metropolitan area and the adjacent Volga River waterway corridor. This document outlines the full scope of professional services, associated costs, payment schedules, and contractual terms governing the engagement. All pricing presented herein reflects current market rates applicable to the</w:t>
      </w:r>
      <w:r>
        <w:t xml:space="preserve"> </w:t>
      </w:r>
      <w:r>
        <w:t xml:space="preserve">Russia Moscow</w:t>
      </w:r>
      <w:r>
        <w:t xml:space="preserve"> </w:t>
      </w:r>
      <w:r>
        <w:t xml:space="preserve">industrial and maritime sector as of the date of issue.</w:t>
      </w:r>
    </w:p>
    <w:bookmarkEnd w:id="21"/>
    <w:bookmarkStart w:id="22" w:name="X47386a29dcb7c24c243eabb3360202869779343"/>
    <w:p>
      <w:pPr>
        <w:pStyle w:val="Heading2"/>
      </w:pPr>
      <w:r>
        <w:t xml:space="preserve">2. Scope of Services — Marine Engineer Engagement</w:t>
      </w:r>
    </w:p>
    <w:p>
      <w:pPr>
        <w:pStyle w:val="FirstParagraph"/>
      </w:pPr>
      <w:r>
        <w:t xml:space="preserve">The</w:t>
      </w:r>
      <w:r>
        <w:t xml:space="preserve"> </w:t>
      </w:r>
      <w:r>
        <w:t xml:space="preserve">Marine Engineer</w:t>
      </w:r>
      <w:r>
        <w:t xml:space="preserve"> </w:t>
      </w:r>
      <w:r>
        <w:t xml:space="preserve">to be deployed under this</w:t>
      </w:r>
      <w:r>
        <w:t xml:space="preserve"> </w:t>
      </w:r>
      <w:r>
        <w:t xml:space="preserve">Quotation Estimate</w:t>
      </w:r>
      <w:r>
        <w:t xml:space="preserve"> </w:t>
      </w:r>
      <w:r>
        <w:t xml:space="preserve">shall hold a valid Class IV Marine Engineer Certificate of Competency issued under the STCW Convention, supplemented by Russian Federation maritime regulatory certifications. The scope of work includes, but is not limited to, the following deliverables:</w:t>
      </w:r>
    </w:p>
    <w:p>
      <w:pPr>
        <w:numPr>
          <w:ilvl w:val="0"/>
          <w:numId w:val="1001"/>
        </w:numPr>
        <w:pStyle w:val="Compact"/>
      </w:pPr>
      <w:r>
        <w:rPr>
          <w:bCs/>
          <w:b/>
        </w:rPr>
        <w:t xml:space="preserve">Comprehensive Vessel Inspection:</w:t>
      </w:r>
      <w:r>
        <w:t xml:space="preserve"> </w:t>
      </w:r>
      <w:r>
        <w:t xml:space="preserve">Full mechanical, electrical, and hydraulic system inspection of three (3) commercial cargo vessels moored at the Moscow River port facilities. The</w:t>
      </w:r>
      <w:r>
        <w:t xml:space="preserve"> </w:t>
      </w:r>
      <w:r>
        <w:t xml:space="preserve">Marine Engineer</w:t>
      </w:r>
      <w:r>
        <w:t xml:space="preserve"> </w:t>
      </w:r>
      <w:r>
        <w:t xml:space="preserve">shall produce a detailed condition report for each vessel within five (5) business days of the inspection date.</w:t>
      </w:r>
    </w:p>
    <w:p>
      <w:pPr>
        <w:numPr>
          <w:ilvl w:val="0"/>
          <w:numId w:val="1001"/>
        </w:numPr>
        <w:pStyle w:val="Compact"/>
      </w:pPr>
      <w:r>
        <w:rPr>
          <w:bCs/>
          <w:b/>
        </w:rPr>
        <w:t xml:space="preserve">Propulsion System Overhaul Supervision:</w:t>
      </w:r>
      <w:r>
        <w:t xml:space="preserve"> </w:t>
      </w:r>
      <w:r>
        <w:t xml:space="preserve">On-site supervision and technical direction of the main diesel engine overhaul for Vessel No. VRSC-204, including turbocharger replacement, cylinder liner renewal, and fuel injection system recalibration. Estimated duration: 18 working days at the</w:t>
      </w:r>
      <w:r>
        <w:t xml:space="preserve"> </w:t>
      </w:r>
      <w:r>
        <w:t xml:space="preserve">Russia Moscow</w:t>
      </w:r>
      <w:r>
        <w:t xml:space="preserve"> </w:t>
      </w:r>
      <w:r>
        <w:t xml:space="preserve">dry-dock facility.</w:t>
      </w:r>
    </w:p>
    <w:p>
      <w:pPr>
        <w:numPr>
          <w:ilvl w:val="0"/>
          <w:numId w:val="1001"/>
        </w:numPr>
        <w:pStyle w:val="Compact"/>
      </w:pPr>
      <w:r>
        <w:rPr>
          <w:bCs/>
          <w:b/>
        </w:rPr>
        <w:t xml:space="preserve">Ballast Water Treatment System Compliance Audit:</w:t>
      </w:r>
      <w:r>
        <w:t xml:space="preserve"> </w:t>
      </w:r>
      <w:r>
        <w:t xml:space="preserve">Verification of ballast water treatment systems against Russian Maritime Register of Shipping (RS) regulations and IMO BWM Convention requirements. The</w:t>
      </w:r>
      <w:r>
        <w:t xml:space="preserve"> </w:t>
      </w:r>
      <w:r>
        <w:t xml:space="preserve">Marine Engineer</w:t>
      </w:r>
      <w:r>
        <w:t xml:space="preserve"> </w:t>
      </w:r>
      <w:r>
        <w:t xml:space="preserve">shall submit a compliance certificate for each audited vessel.</w:t>
      </w:r>
    </w:p>
    <w:p>
      <w:pPr>
        <w:numPr>
          <w:ilvl w:val="0"/>
          <w:numId w:val="1001"/>
        </w:numPr>
        <w:pStyle w:val="Compact"/>
      </w:pPr>
      <w:r>
        <w:rPr>
          <w:bCs/>
          <w:b/>
        </w:rPr>
        <w:t xml:space="preserve">Preventive Maintenance Program Design:</w:t>
      </w:r>
      <w:r>
        <w:t xml:space="preserve"> </w:t>
      </w:r>
      <w:r>
        <w:t xml:space="preserve">Development of a 12-month preventive maintenance schedule tailored to the operating conditions of the Volga River and Moscow waterway, including seasonal adjustments for the</w:t>
      </w:r>
      <w:r>
        <w:t xml:space="preserve"> </w:t>
      </w:r>
      <w:r>
        <w:t xml:space="preserve">Russia Moscow</w:t>
      </w:r>
      <w:r>
        <w:t xml:space="preserve"> </w:t>
      </w:r>
      <w:r>
        <w:t xml:space="preserve">winter freeze period.</w:t>
      </w:r>
    </w:p>
    <w:p>
      <w:pPr>
        <w:numPr>
          <w:ilvl w:val="0"/>
          <w:numId w:val="1001"/>
        </w:numPr>
        <w:pStyle w:val="Compact"/>
      </w:pPr>
      <w:r>
        <w:rPr>
          <w:bCs/>
          <w:b/>
        </w:rPr>
        <w:t xml:space="preserve">Crew Technical Training:</w:t>
      </w:r>
      <w:r>
        <w:t xml:space="preserve"> </w:t>
      </w:r>
      <w:r>
        <w:t xml:space="preserve">Delivery of two (2) on-board training sessions (8 hours each) for the client's engineering officers covering updated maintenance procedures, emergency response protocols, and regulatory compliance obligations specific to Russian maritime law.</w:t>
      </w:r>
    </w:p>
    <w:p>
      <w:pPr>
        <w:numPr>
          <w:ilvl w:val="0"/>
          <w:numId w:val="1001"/>
        </w:numPr>
        <w:pStyle w:val="Compact"/>
      </w:pPr>
      <w:r>
        <w:rPr>
          <w:bCs/>
          <w:b/>
        </w:rPr>
        <w:t xml:space="preserve">Monthly Technical Advisory:</w:t>
      </w:r>
      <w:r>
        <w:t xml:space="preserve"> </w:t>
      </w:r>
      <w:r>
        <w:t xml:space="preserve">Availability of the</w:t>
      </w:r>
      <w:r>
        <w:t xml:space="preserve"> </w:t>
      </w:r>
      <w:r>
        <w:t xml:space="preserve">Marine Engineer</w:t>
      </w:r>
      <w:r>
        <w:t xml:space="preserve"> </w:t>
      </w:r>
      <w:r>
        <w:t xml:space="preserve">for remote and on-site technical consultations on a monthly basis throughout the contract period, with a guaranteed response time of 24 hours for non-urgent queries and 4 hours for critical operational issues.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Marine Engineer — Vessel Inspection (3 vessels)</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Marine Engineer — Propulsion Overhaul Supervision</w:t>
            </w:r>
          </w:p>
        </w:tc>
        <w:tc>
          <w:tcPr/>
          <w:p>
            <w:pPr>
              <w:pStyle w:val="Compact"/>
              <w:jc w:val="left"/>
            </w:pPr>
            <w:r>
              <w:t xml:space="preserve">18 days</w:t>
            </w:r>
          </w:p>
        </w:tc>
        <w:tc>
          <w:tcPr/>
          <w:p>
            <w:pPr>
              <w:pStyle w:val="Compact"/>
              <w:jc w:val="left"/>
            </w:pPr>
            <w:r>
              <w:t xml:space="preserve">210,000</w:t>
            </w:r>
          </w:p>
        </w:tc>
        <w:tc>
          <w:tcPr/>
          <w:p>
            <w:pPr>
              <w:pStyle w:val="Compact"/>
              <w:jc w:val="left"/>
            </w:pPr>
            <w:r>
              <w:t xml:space="preserve">3,780,000</w:t>
            </w:r>
          </w:p>
        </w:tc>
      </w:tr>
      <w:tr>
        <w:tc>
          <w:tcPr/>
          <w:p>
            <w:pPr>
              <w:pStyle w:val="Compact"/>
              <w:jc w:val="left"/>
            </w:pPr>
            <w:r>
              <w:t xml:space="preserve">03</w:t>
            </w:r>
          </w:p>
        </w:tc>
        <w:tc>
          <w:tcPr/>
          <w:p>
            <w:pPr>
              <w:pStyle w:val="Compact"/>
              <w:jc w:val="left"/>
            </w:pPr>
            <w:r>
              <w:t xml:space="preserve">Ballast Water Treatment Compliance Audit</w:t>
            </w:r>
          </w:p>
        </w:tc>
        <w:tc>
          <w:tcPr/>
          <w:p>
            <w:pPr>
              <w:pStyle w:val="Compact"/>
              <w:jc w:val="left"/>
            </w:pPr>
            <w:r>
              <w:t xml:space="preserve">3 days</w:t>
            </w:r>
          </w:p>
        </w:tc>
        <w:tc>
          <w:tcPr/>
          <w:p>
            <w:pPr>
              <w:pStyle w:val="Compact"/>
              <w:jc w:val="left"/>
            </w:pPr>
            <w:r>
              <w:t xml:space="preserve">195,000</w:t>
            </w:r>
          </w:p>
        </w:tc>
        <w:tc>
          <w:tcPr/>
          <w:p>
            <w:pPr>
              <w:pStyle w:val="Compact"/>
              <w:jc w:val="left"/>
            </w:pPr>
            <w:r>
              <w:t xml:space="preserve">585,000</w:t>
            </w:r>
          </w:p>
        </w:tc>
      </w:tr>
      <w:tr>
        <w:tc>
          <w:tcPr/>
          <w:p>
            <w:pPr>
              <w:pStyle w:val="Compact"/>
              <w:jc w:val="left"/>
            </w:pPr>
            <w:r>
              <w:t xml:space="preserve">04</w:t>
            </w:r>
          </w:p>
        </w:tc>
        <w:tc>
          <w:tcPr/>
          <w:p>
            <w:pPr>
              <w:pStyle w:val="Compact"/>
              <w:jc w:val="left"/>
            </w:pPr>
            <w:r>
              <w:t xml:space="preserve">Preventive Maintenance Program Design</w:t>
            </w:r>
          </w:p>
        </w:tc>
        <w:tc>
          <w:tcPr/>
          <w:p>
            <w:pPr>
              <w:pStyle w:val="Compact"/>
              <w:jc w:val="left"/>
            </w:pPr>
            <w:r>
              <w:t xml:space="preserve">10 days</w:t>
            </w:r>
          </w:p>
        </w:tc>
        <w:tc>
          <w:tcPr/>
          <w:p>
            <w:pPr>
              <w:pStyle w:val="Compact"/>
              <w:jc w:val="left"/>
            </w:pPr>
            <w:r>
              <w:t xml:space="preserve">175,000</w:t>
            </w:r>
          </w:p>
        </w:tc>
        <w:tc>
          <w:tcPr/>
          <w:p>
            <w:pPr>
              <w:pStyle w:val="Compact"/>
              <w:jc w:val="left"/>
            </w:pPr>
            <w:r>
              <w:t xml:space="preserve">1,750,000</w:t>
            </w:r>
          </w:p>
        </w:tc>
      </w:tr>
      <w:tr>
        <w:tc>
          <w:tcPr/>
          <w:p>
            <w:pPr>
              <w:pStyle w:val="Compact"/>
              <w:jc w:val="left"/>
            </w:pPr>
            <w:r>
              <w:t xml:space="preserve">05</w:t>
            </w:r>
          </w:p>
        </w:tc>
        <w:tc>
          <w:tcPr/>
          <w:p>
            <w:pPr>
              <w:pStyle w:val="Compact"/>
              <w:jc w:val="left"/>
            </w:pPr>
            <w:r>
              <w:t xml:space="preserve">Crew Technical Training (2 sessions)</w:t>
            </w:r>
          </w:p>
        </w:tc>
        <w:tc>
          <w:tcPr/>
          <w:p>
            <w:pPr>
              <w:pStyle w:val="Compact"/>
              <w:jc w:val="left"/>
            </w:pPr>
            <w:r>
              <w:t xml:space="preserve">16 hours</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Monthly Technical Advisory (12 months)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Travel, Accommodation &amp; Local Transport (Russia Moscow)</w:t>
            </w:r>
          </w:p>
        </w:tc>
        <w:tc>
          <w:tcPr/>
          <w:p>
            <w:pPr>
              <w:pStyle w:val="Compact"/>
              <w:jc w:val="left"/>
            </w:pPr>
            <w:r>
              <w:t xml:space="preserve">38 days</w:t>
            </w:r>
          </w:p>
        </w:tc>
        <w:tc>
          <w:tcPr/>
          <w:p>
            <w:pPr>
              <w:pStyle w:val="Compact"/>
              <w:jc w:val="left"/>
            </w:pPr>
            <w:r>
              <w:t xml:space="preserve">42,000</w:t>
            </w:r>
          </w:p>
        </w:tc>
        <w:tc>
          <w:tcPr/>
          <w:p>
            <w:pPr>
              <w:pStyle w:val="Compact"/>
              <w:jc w:val="left"/>
            </w:pPr>
            <w:r>
              <w:t xml:space="preserve">1,596,000</w:t>
            </w:r>
          </w:p>
        </w:tc>
      </w:tr>
      <w:tr>
        <w:tc>
          <w:tcPr/>
          <w:p>
            <w:pPr>
              <w:pStyle w:val="Compact"/>
              <w:jc w:val="left"/>
            </w:pPr>
            <w:r>
              <w:t xml:space="preserve">08</w:t>
            </w:r>
          </w:p>
        </w:tc>
        <w:tc>
          <w:tcPr/>
          <w:p>
            <w:pPr>
              <w:pStyle w:val="Compact"/>
              <w:jc w:val="left"/>
            </w:pPr>
            <w:r>
              <w:t xml:space="preserve">Specialized Diagnostic Equipment &amp; Consumables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Regulatory Filing &amp; Certification Fees (RS, RMA)</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11,526,000</w:t>
            </w:r>
          </w:p>
        </w:tc>
      </w:tr>
      <w:tr>
        <w:tc>
          <w:tcPr>
            <w:gridSpan w:val="4"/>
          </w:tcPr>
          <w:p>
            <w:pPr>
              <w:pStyle w:val="Compact"/>
              <w:jc w:val="left"/>
            </w:pPr>
            <w:r>
              <w:t xml:space="preserve">VAT (20% — Russian Federation)</w:t>
            </w:r>
          </w:p>
        </w:tc>
        <w:tc>
          <w:tcPr/>
          <w:p>
            <w:pPr>
              <w:pStyle w:val="Compact"/>
              <w:jc w:val="left"/>
            </w:pPr>
            <w:r>
              <w:t xml:space="preserve">2,305,200</w:t>
            </w:r>
          </w:p>
        </w:tc>
      </w:tr>
      <w:tr>
        <w:tc>
          <w:tcPr>
            <w:gridSpan w:val="4"/>
          </w:tcPr>
          <w:p>
            <w:pPr>
              <w:pStyle w:val="Compact"/>
              <w:jc w:val="left"/>
            </w:pPr>
            <w:r>
              <w:rPr>
                <w:bCs/>
                <w:b/>
              </w:rPr>
              <w:t xml:space="preserve">GRAND TOTAL (RUB)</w:t>
            </w:r>
          </w:p>
        </w:tc>
        <w:tc>
          <w:tcPr/>
          <w:p>
            <w:pPr>
              <w:pStyle w:val="Compact"/>
              <w:jc w:val="left"/>
            </w:pPr>
            <w:r>
              <w:rPr>
                <w:bCs/>
                <w:b/>
              </w:rPr>
              <w:t xml:space="preserve">13,831,200</w:t>
            </w:r>
          </w:p>
        </w:tc>
      </w:tr>
      <w:tr>
        <w:tc>
          <w:tcPr>
            <w:gridSpan w:val="4"/>
          </w:tcPr>
          <w:p>
            <w:pPr>
              <w:pStyle w:val="Compact"/>
              <w:jc w:val="left"/>
            </w:pPr>
            <w:r>
              <w:rPr>
                <w:bCs/>
                <w:b/>
              </w:rPr>
              <w:t xml:space="preserve">GRAND TOTAL (USD equivalent @ 92.50 RUB/USD)</w:t>
            </w:r>
          </w:p>
        </w:tc>
        <w:tc>
          <w:tcPr/>
          <w:p>
            <w:pPr>
              <w:pStyle w:val="Compact"/>
              <w:jc w:val="left"/>
            </w:pPr>
            <w:r>
              <w:rPr>
                <w:bCs/>
                <w:b/>
              </w:rPr>
              <w:t xml:space="preserve">149,526.49</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A non-refundable advance payment of thirty percent (30%) of the total</w:t>
      </w:r>
      <w:r>
        <w:t xml:space="preserve"> </w:t>
      </w:r>
      <w:r>
        <w:t xml:space="preserve">Quotation Estimate</w:t>
      </w:r>
      <w:r>
        <w:t xml:space="preserve"> </w:t>
      </w:r>
      <w:r>
        <w:t xml:space="preserve">value, amounting to 4,149,360 RUB, shall be due within ten (10) business days of the client's written acceptance of this document.</w:t>
      </w:r>
    </w:p>
    <w:p>
      <w:pPr>
        <w:pStyle w:val="BodyText"/>
      </w:pPr>
      <w:r>
        <w:rPr>
          <w:bCs/>
          <w:b/>
        </w:rPr>
        <w:t xml:space="preserve">4.2</w:t>
      </w:r>
      <w:r>
        <w:t xml:space="preserve"> </w:t>
      </w:r>
      <w:r>
        <w:t xml:space="preserve">— A second installment of forty percent (40%), amounting to 5,532,480 RUB, shall be payable upon completion and client sign-off of the propulsion system overhaul supervision (Item 02).</w:t>
      </w:r>
    </w:p>
    <w:p>
      <w:pPr>
        <w:pStyle w:val="BodyText"/>
      </w:pPr>
      <w:r>
        <w:rPr>
          <w:bCs/>
          <w:b/>
        </w:rPr>
        <w:t xml:space="preserve">4.3</w:t>
      </w:r>
      <w:r>
        <w:t xml:space="preserve"> </w:t>
      </w:r>
      <w:r>
        <w:t xml:space="preserve">— The remaining balance of thirty percent (30%), amounting to 4,149,360 RUB, shall be payable within fifteen (15) business days following the final delivery of all reports, certifications, and the preventive maintenance program.</w:t>
      </w:r>
    </w:p>
    <w:p>
      <w:pPr>
        <w:pStyle w:val="BodyText"/>
      </w:pPr>
      <w:r>
        <w:rPr>
          <w:bCs/>
          <w:b/>
        </w:rPr>
        <w:t xml:space="preserve">4.4</w:t>
      </w:r>
      <w:r>
        <w:t xml:space="preserve"> </w:t>
      </w:r>
      <w:r>
        <w:t xml:space="preserve">— All payments shall be made via bank transfer to the account of Arctic Marine Engineering Solutions LLC, Sberbank, Russia Moscow, Account No. 40702810 5004 5001 2345, BIC: SABRRUMM. Invoices shall be issued in Russian Rubles in accordance with Russian Federal Tax Service requirements.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a period of ninety (90) calendar days from the date of issue. Prices are subject to revision upon expiry due to fluctuations in the</w:t>
      </w:r>
      <w:r>
        <w:t xml:space="preserve"> </w:t>
      </w:r>
      <w:r>
        <w:t xml:space="preserve">Russia Moscow</w:t>
      </w:r>
      <w:r>
        <w:t xml:space="preserve"> </w:t>
      </w:r>
      <w:r>
        <w:t xml:space="preserve">labor market, fuel surcharges, or changes in applicable Russian maritime regulations.</w:t>
      </w:r>
    </w:p>
    <w:p>
      <w:pPr>
        <w:pStyle w:val="BodyText"/>
      </w:pPr>
      <w:r>
        <w:rPr>
          <w:bCs/>
          <w:b/>
        </w:rPr>
        <w:t xml:space="preserve">5.2</w:t>
      </w:r>
      <w:r>
        <w:t xml:space="preserve"> </w:t>
      </w:r>
      <w:r>
        <w:t xml:space="preserve">— The</w:t>
      </w:r>
      <w:r>
        <w:t xml:space="preserve"> </w:t>
      </w:r>
      <w:r>
        <w:t xml:space="preserve">Marine Engineer</w:t>
      </w:r>
      <w:r>
        <w:t xml:space="preserve"> </w:t>
      </w:r>
      <w:r>
        <w:t xml:space="preserve">assigned to this project shall comply with all safety, environmental, and operational regulations of the Russian Federation, including those enforced by the Russian Maritime Authority (RMA) and the Russian Maritime Register of Shipping (RS).</w:t>
      </w:r>
    </w:p>
    <w:p>
      <w:pPr>
        <w:pStyle w:val="BodyText"/>
      </w:pPr>
      <w:r>
        <w:rPr>
          <w:bCs/>
          <w:b/>
        </w:rPr>
        <w:t xml:space="preserve">5.3</w:t>
      </w:r>
      <w:r>
        <w:t xml:space="preserve"> </w:t>
      </w:r>
      <w:r>
        <w:t xml:space="preserve">— The client shall provide safe working access to all vessels, dry-dock facilities, and port areas within the</w:t>
      </w:r>
      <w:r>
        <w:t xml:space="preserve"> </w:t>
      </w:r>
      <w:r>
        <w:t xml:space="preserve">Russia Moscow</w:t>
      </w:r>
      <w:r>
        <w:t xml:space="preserve"> </w:t>
      </w:r>
      <w:r>
        <w:t xml:space="preserve">jurisdiction. The client is responsible for obtaining all necessary work permits, mooring clearances, and environmental permits prior to the commencement of any on-site activity.</w:t>
      </w:r>
    </w:p>
    <w:p>
      <w:pPr>
        <w:pStyle w:val="BodyText"/>
      </w:pPr>
      <w:r>
        <w:rPr>
          <w:bCs/>
          <w:b/>
        </w:rPr>
        <w:t xml:space="preserve">5.4</w:t>
      </w:r>
      <w:r>
        <w:t xml:space="preserve"> </w:t>
      </w:r>
      <w:r>
        <w:t xml:space="preserve">— Any work beyond the scope defined in Section 2 of this</w:t>
      </w:r>
      <w:r>
        <w:t xml:space="preserve"> </w:t>
      </w:r>
      <w:r>
        <w:t xml:space="preserve">Quotation Estimate</w:t>
      </w:r>
      <w:r>
        <w:t xml:space="preserve"> </w:t>
      </w:r>
      <w:r>
        <w:t xml:space="preserve">shall be subject to a separate written change order and additional cost assessment approved by both parties before execution.</w:t>
      </w:r>
    </w:p>
    <w:p>
      <w:pPr>
        <w:pStyle w:val="BodyText"/>
      </w:pPr>
      <w:r>
        <w:rPr>
          <w:bCs/>
          <w:b/>
        </w:rPr>
        <w:t xml:space="preserve">5.5</w:t>
      </w:r>
      <w:r>
        <w:t xml:space="preserve"> </w:t>
      </w:r>
      <w:r>
        <w:t xml:space="preserve">— The</w:t>
      </w:r>
      <w:r>
        <w:t xml:space="preserve"> </w:t>
      </w:r>
      <w:r>
        <w:t xml:space="preserve">Marine Engineer</w:t>
      </w:r>
      <w:r>
        <w:t xml:space="preserve"> </w:t>
      </w:r>
      <w:r>
        <w:t xml:space="preserve">shall maintain professional indemnity insurance with a minimum coverage of 10,000,000 RUB throughout the duration of the engagement. Certificates of insurance shall be provided to the client upon request.</w:t>
      </w:r>
    </w:p>
    <w:p>
      <w:pPr>
        <w:pStyle w:val="BodyText"/>
      </w:pPr>
      <w:r>
        <w:rPr>
          <w:bCs/>
          <w:b/>
        </w:rPr>
        <w:t xml:space="preserve">5.6</w:t>
      </w:r>
      <w:r>
        <w:t xml:space="preserve"> </w:t>
      </w:r>
      <w:r>
        <w:t xml:space="preserve">— All technical reports, maintenance programs, and compliance certificates produced under this engagement shall become the property of the client upon full payment. The</w:t>
      </w:r>
      <w:r>
        <w:t xml:space="preserve"> </w:t>
      </w:r>
      <w:r>
        <w:t xml:space="preserve">Marine Engineer</w:t>
      </w:r>
      <w:r>
        <w:t xml:space="preserve"> </w:t>
      </w:r>
      <w:r>
        <w:t xml:space="preserve">and Arctic Marine Engineering Solutions LLC retain the right to reference the project in professional portfolios and industry publications, subject to the client's prior written consent.</w:t>
      </w:r>
    </w:p>
    <w:p>
      <w:pPr>
        <w:pStyle w:val="BodyText"/>
      </w:pPr>
      <w:r>
        <w:rPr>
          <w:bCs/>
          <w:b/>
        </w:rPr>
        <w:t xml:space="preserve">5.7</w:t>
      </w:r>
      <w:r>
        <w:t xml:space="preserve"> </w:t>
      </w:r>
      <w:r>
        <w:t xml:space="preserve">— Disputes arising from this</w:t>
      </w:r>
      <w:r>
        <w:t xml:space="preserve"> </w:t>
      </w:r>
      <w:r>
        <w:t xml:space="preserve">Quotation Estimate</w:t>
      </w:r>
      <w:r>
        <w:t xml:space="preserve"> </w:t>
      </w:r>
      <w:r>
        <w:t xml:space="preserve">or the subsequent service agreement shall be resolved through arbitration in accordance with the rules of the Arbitration Court of the City of</w:t>
      </w:r>
      <w:r>
        <w:t xml:space="preserve"> </w:t>
      </w:r>
      <w:r>
        <w:t xml:space="preserve">Russia Moscow</w:t>
      </w:r>
      <w:r>
        <w:t xml:space="preserve">. The governing law shall be the civil legislation of the Russian Federation.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Arctic Marine Engineering Solutions LLC to proceed with the engagement of the</w:t>
      </w:r>
      <w:r>
        <w:t xml:space="preserve"> </w:t>
      </w:r>
      <w:r>
        <w:t xml:space="preserve">Marine Engineer</w:t>
      </w:r>
      <w:r>
        <w:t xml:space="preserve"> </w:t>
      </w:r>
      <w:r>
        <w:t xml:space="preserve">for the services described herein, under the terms and conditions set out in this document, for the project located in</w:t>
      </w:r>
      <w:r>
        <w:t xml:space="preserve"> </w:t>
      </w:r>
      <w:r>
        <w:t xml:space="preserve">Russia Moscow</w:t>
      </w:r>
      <w:r>
        <w:t xml:space="preser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w:t>
      </w:r>
    </w:p>
    <w:p>
      <w:pPr>
        <w:pStyle w:val="BodyText"/>
      </w:pPr>
      <w:r>
        <w:rPr>
          <w:bCs/>
          <w:b/>
        </w:rPr>
        <w:t xml:space="preserve">For and on behalf of Arctic Marine Engineering Solutions LLC:</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w:t>
      </w:r>
    </w:p>
    <w:p>
      <w:pPr>
        <w:pStyle w:val="BodyText"/>
      </w:pPr>
      <w:r>
        <w:t xml:space="preserve">Arctic Marine Engineering Solutions LLC — 115035, Russia Moscow, Tverskaya St. 12, Office 407 | Tel: +7 (495) 000-0000 | Email: quotes@arcticmarine.ru</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Reference: QTE-RM-2025-04782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Russia Moscow</dc:title>
  <dc:creator/>
  <dc:language>en</dc:language>
  <cp:keywords/>
  <dcterms:created xsi:type="dcterms:W3CDTF">2026-10-10T06:27:28Z</dcterms:created>
  <dcterms:modified xsi:type="dcterms:W3CDTF">2026-10-10T06:27:28Z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