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Marine</w:t>
      </w:r>
      <w:r>
        <w:t xml:space="preserve"> </w:t>
      </w:r>
      <w:r>
        <w:t xml:space="preserve">Engineer</w:t>
      </w:r>
      <w:r>
        <w:t xml:space="preserve"> </w:t>
      </w:r>
      <w:r>
        <w:t xml:space="preserve">-</w:t>
      </w:r>
      <w:r>
        <w:t xml:space="preserve"> </w:t>
      </w:r>
      <w:r>
        <w:t xml:space="preserve">Uzbekistan</w:t>
      </w:r>
      <w:r>
        <w:t xml:space="preserve"> </w:t>
      </w:r>
      <w:r>
        <w:t xml:space="preserve">Tashkent</w:t>
      </w:r>
    </w:p>
    <w:bookmarkStart w:id="20" w:name="quotation-estimate"/>
    <w:p>
      <w:pPr>
        <w:pStyle w:val="Heading1"/>
      </w:pPr>
      <w:r>
        <w:t xml:space="preserve">Quotation Estimate</w:t>
      </w:r>
    </w:p>
    <w:p>
      <w:pPr>
        <w:pStyle w:val="FirstParagraph"/>
      </w:pPr>
      <w:r>
        <w:rPr>
          <w:bCs/>
          <w:b/>
        </w:rPr>
        <w:t xml:space="preserve">NavalTech Engineering Solutions LLP</w:t>
      </w:r>
    </w:p>
    <w:p>
      <w:pPr>
        <w:pStyle w:val="BodyText"/>
      </w:pPr>
      <w:r>
        <w:t xml:space="preserve">142 Amir Temur Avenue, Tashkent, 100084, Uzbekistan</w:t>
      </w:r>
    </w:p>
    <w:p>
      <w:pPr>
        <w:pStyle w:val="BodyText"/>
      </w:pPr>
      <w:r>
        <w:t xml:space="preserve">Tel: +998 (71) 200-45-67 | Email: quotations@navaltech-uz.com</w:t>
      </w:r>
    </w:p>
    <w:p>
      <w:pPr>
        <w:pStyle w:val="BodyText"/>
      </w:pPr>
      <w:r>
        <w:t xml:space="preserve">Registration No. UZ-2019-447821 | VAT ID: 201944782</w:t>
      </w:r>
    </w:p>
    <w:bookmarkEnd w:id="20"/>
    <w:p>
      <w:pPr>
        <w:pStyle w:val="BodyText"/>
      </w:pPr>
      <w:r>
        <w:rPr>
          <w:bCs/>
          <w:b/>
        </w:rPr>
        <w:t xml:space="preserve">Quotation No.:</w:t>
      </w:r>
      <w:r>
        <w:t xml:space="preserve"> </w:t>
      </w:r>
      <w:r>
        <w:t xml:space="preserve">QTE-2025-ME-0347</w:t>
      </w:r>
    </w:p>
    <w:p>
      <w:pPr>
        <w:pStyle w:val="BodyText"/>
      </w:pPr>
      <w:r>
        <w:rPr>
          <w:bCs/>
          <w:b/>
        </w:rPr>
        <w:t xml:space="preserve">Date Issued:</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Project Location:</w:t>
      </w:r>
      <w:r>
        <w:t xml:space="preserve"> </w:t>
      </w:r>
      <w:r>
        <w:t xml:space="preserve">Uzbekistan Tashkent</w:t>
      </w:r>
    </w:p>
    <w:bookmarkStart w:id="21" w:name="client-information"/>
    <w:p>
      <w:pPr>
        <w:pStyle w:val="Heading2"/>
      </w:pPr>
      <w:r>
        <w:t xml:space="preserve">1. Client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Client Name:</w:t>
            </w:r>
          </w:p>
        </w:tc>
        <w:tc>
          <w:tcPr/>
          <w:p>
            <w:pPr>
              <w:pStyle w:val="Compact"/>
              <w:jc w:val="left"/>
            </w:pPr>
            <w:r>
              <w:t xml:space="preserve">Tashkent Port &amp; Inland Waterways Authority</w:t>
            </w:r>
          </w:p>
        </w:tc>
      </w:tr>
      <w:tr>
        <w:tc>
          <w:tcPr/>
          <w:p>
            <w:pPr>
              <w:pStyle w:val="Compact"/>
              <w:jc w:val="left"/>
            </w:pPr>
            <w:r>
              <w:rPr>
                <w:bCs/>
                <w:b/>
              </w:rPr>
              <w:t xml:space="preserve">Address:</w:t>
            </w:r>
          </w:p>
        </w:tc>
        <w:tc>
          <w:tcPr/>
          <w:p>
            <w:pPr>
              <w:pStyle w:val="Compact"/>
              <w:jc w:val="left"/>
            </w:pPr>
            <w:r>
              <w:t xml:space="preserve">88 Chushtepa Street, Tashkent, 100011, Uzbekistan</w:t>
            </w:r>
          </w:p>
        </w:tc>
      </w:tr>
      <w:tr>
        <w:tc>
          <w:tcPr/>
          <w:p>
            <w:pPr>
              <w:pStyle w:val="Compact"/>
              <w:jc w:val="left"/>
            </w:pPr>
            <w:r>
              <w:rPr>
                <w:bCs/>
                <w:b/>
              </w:rPr>
              <w:t xml:space="preserve">Contact Person:</w:t>
            </w:r>
          </w:p>
        </w:tc>
        <w:tc>
          <w:tcPr/>
          <w:p>
            <w:pPr>
              <w:pStyle w:val="Compact"/>
              <w:jc w:val="left"/>
            </w:pPr>
            <w:r>
              <w:t xml:space="preserve">Mr. Rustam Karimov, Chief Operations Director</w:t>
            </w:r>
          </w:p>
        </w:tc>
      </w:tr>
      <w:tr>
        <w:tc>
          <w:tcPr/>
          <w:p>
            <w:pPr>
              <w:pStyle w:val="Compact"/>
              <w:jc w:val="left"/>
            </w:pPr>
            <w:r>
              <w:rPr>
                <w:bCs/>
                <w:b/>
              </w:rPr>
              <w:t xml:space="preserve">Email:</w:t>
            </w:r>
          </w:p>
        </w:tc>
        <w:tc>
          <w:tcPr/>
          <w:p>
            <w:pPr>
              <w:pStyle w:val="Compact"/>
              <w:jc w:val="left"/>
            </w:pPr>
            <w:r>
              <w:t xml:space="preserve">r.karimov@tashkentport.uz</w:t>
            </w:r>
          </w:p>
        </w:tc>
      </w:tr>
      <w:tr>
        <w:tc>
          <w:tcPr/>
          <w:p>
            <w:pPr>
              <w:pStyle w:val="Compact"/>
              <w:jc w:val="left"/>
            </w:pPr>
            <w:r>
              <w:rPr>
                <w:bCs/>
                <w:b/>
              </w:rPr>
              <w:t xml:space="preserve">Phone:</w:t>
            </w:r>
          </w:p>
        </w:tc>
        <w:tc>
          <w:tcPr/>
          <w:p>
            <w:pPr>
              <w:pStyle w:val="Compact"/>
              <w:jc w:val="left"/>
            </w:pPr>
            <w:r>
              <w:t xml:space="preserve">+998 (71) 233-89-01</w:t>
            </w:r>
          </w:p>
        </w:tc>
      </w:tr>
    </w:tbl>
    <w:bookmarkEnd w:id="21"/>
    <w:bookmarkStart w:id="22" w:name="scope-of-work-marine-engineer-services"/>
    <w:p>
      <w:pPr>
        <w:pStyle w:val="Heading2"/>
      </w:pPr>
      <w:r>
        <w:t xml:space="preserve">2. Scope of Work – Marine Engineer Services</w:t>
      </w:r>
    </w:p>
    <w:p>
      <w:pPr>
        <w:pStyle w:val="FirstParagraph"/>
      </w:pPr>
      <w:r>
        <w:t xml:space="preserve">This</w:t>
      </w:r>
      <w:r>
        <w:t xml:space="preserve"> </w:t>
      </w:r>
      <w:r>
        <w:t xml:space="preserve">Quotation Estimate</w:t>
      </w:r>
      <w:r>
        <w:t xml:space="preserve"> </w:t>
      </w:r>
      <w:r>
        <w:t xml:space="preserve">is prepared in response to the formal request issued by the Tashkent Port &amp; Inland Waterways Authority for the engagement of a qualified</w:t>
      </w:r>
      <w:r>
        <w:t xml:space="preserve"> </w:t>
      </w:r>
      <w:r>
        <w:t xml:space="preserve">Marine Engineer</w:t>
      </w:r>
      <w:r>
        <w:t xml:space="preserve"> </w:t>
      </w:r>
      <w:r>
        <w:t xml:space="preserve">to provide comprehensive technical oversight, maintenance planning, and operational support for the inland waterway vessel fleet and associated port infrastructure located in</w:t>
      </w:r>
      <w:r>
        <w:t xml:space="preserve"> </w:t>
      </w:r>
      <w:r>
        <w:t xml:space="preserve">Uzbekistan Tashkent</w:t>
      </w:r>
      <w:r>
        <w:t xml:space="preserve">. The scope of services encompasses the following key deliverables:</w:t>
      </w:r>
    </w:p>
    <w:p>
      <w:pPr>
        <w:numPr>
          <w:ilvl w:val="0"/>
          <w:numId w:val="1001"/>
        </w:numPr>
        <w:pStyle w:val="Compact"/>
      </w:pPr>
      <w:r>
        <w:t xml:space="preserve">Full technical assessment and condition survey of 12 inland cargo vessels and 4 tugboats currently registered under the Tashkent Port Authority.</w:t>
      </w:r>
    </w:p>
    <w:p>
      <w:pPr>
        <w:numPr>
          <w:ilvl w:val="0"/>
          <w:numId w:val="1001"/>
        </w:numPr>
        <w:pStyle w:val="Compact"/>
      </w:pPr>
      <w:r>
        <w:t xml:space="preserve">Development of a 24-month preventive maintenance schedule for all marine propulsion systems, auxiliary engines, and electrical installations aboard the fleet.</w:t>
      </w:r>
    </w:p>
    <w:p>
      <w:pPr>
        <w:numPr>
          <w:ilvl w:val="0"/>
          <w:numId w:val="1001"/>
        </w:numPr>
        <w:pStyle w:val="Compact"/>
      </w:pPr>
      <w:r>
        <w:t xml:space="preserve">Design and implementation of a digital monitoring system for engine performance, fuel consumption, and emission compliance in line with international maritime standards adapted for inland waterway operations in Uzbekistan.</w:t>
      </w:r>
    </w:p>
    <w:p>
      <w:pPr>
        <w:numPr>
          <w:ilvl w:val="0"/>
          <w:numId w:val="1001"/>
        </w:numPr>
        <w:pStyle w:val="Compact"/>
      </w:pPr>
      <w:r>
        <w:t xml:space="preserve">On-site supervision of major dry-dock repairs scheduled for Q3 2025 at the Tashkent Shipyard facility on the Chirchik River basin.</w:t>
      </w:r>
    </w:p>
    <w:p>
      <w:pPr>
        <w:numPr>
          <w:ilvl w:val="0"/>
          <w:numId w:val="1001"/>
        </w:numPr>
        <w:pStyle w:val="Compact"/>
      </w:pPr>
      <w:r>
        <w:t xml:space="preserve">Training of 15 local maintenance technicians in advanced marine engineering diagnostics, hydraulic system repair, and safety protocol management.</w:t>
      </w:r>
    </w:p>
    <w:p>
      <w:pPr>
        <w:numPr>
          <w:ilvl w:val="0"/>
          <w:numId w:val="1001"/>
        </w:numPr>
        <w:pStyle w:val="Compact"/>
      </w:pPr>
      <w:r>
        <w:t xml:space="preserve">Preparation of a comprehensive technical report and long-term capital expenditure plan for fleet modernization over the next five years.</w:t>
      </w:r>
    </w:p>
    <w:p>
      <w:pPr>
        <w:numPr>
          <w:ilvl w:val="0"/>
          <w:numId w:val="1001"/>
        </w:numPr>
        <w:pStyle w:val="Compact"/>
      </w:pPr>
      <w:r>
        <w:t xml:space="preserve">Monthly progress reporting to the Tashkent Port Authority management, including KPI dashboards and risk assessments.</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Unit Cost (USD)</w:t>
            </w:r>
          </w:p>
        </w:tc>
        <w:tc>
          <w:tcPr/>
          <w:p>
            <w:pPr>
              <w:pStyle w:val="Compact"/>
              <w:jc w:val="left"/>
            </w:pPr>
            <w:r>
              <w:t xml:space="preserve">Total (USD)</w:t>
            </w:r>
          </w:p>
        </w:tc>
      </w:tr>
      <w:tr>
        <w:tc>
          <w:tcPr/>
          <w:p>
            <w:pPr>
              <w:pStyle w:val="Compact"/>
              <w:jc w:val="left"/>
            </w:pPr>
            <w:r>
              <w:t xml:space="preserve">01</w:t>
            </w:r>
          </w:p>
        </w:tc>
        <w:tc>
          <w:tcPr/>
          <w:p>
            <w:pPr>
              <w:pStyle w:val="Compact"/>
              <w:jc w:val="left"/>
            </w:pPr>
            <w:r>
              <w:t xml:space="preserve">Marine Engineer – Senior Technical Lead (on-site, full-time)</w:t>
            </w:r>
          </w:p>
        </w:tc>
        <w:tc>
          <w:tcPr/>
          <w:p>
            <w:pPr>
              <w:pStyle w:val="Compact"/>
              <w:jc w:val="left"/>
            </w:pPr>
            <w:r>
              <w:t xml:space="preserve">6 months</w:t>
            </w:r>
          </w:p>
        </w:tc>
        <w:tc>
          <w:tcPr/>
          <w:p>
            <w:pPr>
              <w:pStyle w:val="Compact"/>
              <w:jc w:val="left"/>
            </w:pPr>
            <w:r>
              <w:t xml:space="preserve">8,500 / month</w:t>
            </w:r>
          </w:p>
        </w:tc>
        <w:tc>
          <w:tcPr/>
          <w:p>
            <w:pPr>
              <w:pStyle w:val="Compact"/>
              <w:jc w:val="left"/>
            </w:pPr>
            <w:r>
              <w:t xml:space="preserve">51,000.00</w:t>
            </w:r>
          </w:p>
        </w:tc>
      </w:tr>
      <w:tr>
        <w:tc>
          <w:tcPr/>
          <w:p>
            <w:pPr>
              <w:pStyle w:val="Compact"/>
              <w:jc w:val="left"/>
            </w:pPr>
            <w:r>
              <w:t xml:space="preserve">02</w:t>
            </w:r>
          </w:p>
        </w:tc>
        <w:tc>
          <w:tcPr/>
          <w:p>
            <w:pPr>
              <w:pStyle w:val="Compact"/>
              <w:jc w:val="left"/>
            </w:pPr>
            <w:r>
              <w:t xml:space="preserve">Marine Engineer – Junior Assistant (on-site, full-time)</w:t>
            </w:r>
          </w:p>
        </w:tc>
        <w:tc>
          <w:tcPr/>
          <w:p>
            <w:pPr>
              <w:pStyle w:val="Compact"/>
              <w:jc w:val="left"/>
            </w:pPr>
            <w:r>
              <w:t xml:space="preserve">6 months</w:t>
            </w:r>
          </w:p>
        </w:tc>
        <w:tc>
          <w:tcPr/>
          <w:p>
            <w:pPr>
              <w:pStyle w:val="Compact"/>
              <w:jc w:val="left"/>
            </w:pPr>
            <w:r>
              <w:t xml:space="preserve">4,200 / month</w:t>
            </w:r>
          </w:p>
        </w:tc>
        <w:tc>
          <w:tcPr/>
          <w:p>
            <w:pPr>
              <w:pStyle w:val="Compact"/>
              <w:jc w:val="left"/>
            </w:pPr>
            <w:r>
              <w:t xml:space="preserve">25,200.00</w:t>
            </w:r>
          </w:p>
        </w:tc>
      </w:tr>
      <w:tr>
        <w:tc>
          <w:tcPr/>
          <w:p>
            <w:pPr>
              <w:pStyle w:val="Compact"/>
              <w:jc w:val="left"/>
            </w:pPr>
            <w:r>
              <w:t xml:space="preserve">03</w:t>
            </w:r>
          </w:p>
        </w:tc>
        <w:tc>
          <w:tcPr/>
          <w:p>
            <w:pPr>
              <w:pStyle w:val="Compact"/>
              <w:jc w:val="left"/>
            </w:pPr>
            <w:r>
              <w:t xml:space="preserve">Vessel Condition Survey &amp; Technical Assessment (16 vessels)</w:t>
            </w:r>
          </w:p>
        </w:tc>
        <w:tc>
          <w:tcPr/>
          <w:p>
            <w:pPr>
              <w:pStyle w:val="Compact"/>
              <w:jc w:val="left"/>
            </w:pPr>
            <w:r>
              <w:t xml:space="preserve">16 vessels</w:t>
            </w:r>
          </w:p>
        </w:tc>
        <w:tc>
          <w:tcPr/>
          <w:p>
            <w:pPr>
              <w:pStyle w:val="Compact"/>
              <w:jc w:val="left"/>
            </w:pPr>
            <w:r>
              <w:t xml:space="preserve">1,850 / vessel</w:t>
            </w:r>
          </w:p>
        </w:tc>
        <w:tc>
          <w:tcPr/>
          <w:p>
            <w:pPr>
              <w:pStyle w:val="Compact"/>
              <w:jc w:val="left"/>
            </w:pPr>
            <w:r>
              <w:t xml:space="preserve">29,600.00</w:t>
            </w:r>
          </w:p>
        </w:tc>
      </w:tr>
      <w:tr>
        <w:tc>
          <w:tcPr/>
          <w:p>
            <w:pPr>
              <w:pStyle w:val="Compact"/>
              <w:jc w:val="left"/>
            </w:pPr>
            <w:r>
              <w:t xml:space="preserve">04</w:t>
            </w:r>
          </w:p>
        </w:tc>
        <w:tc>
          <w:tcPr/>
          <w:p>
            <w:pPr>
              <w:pStyle w:val="Compact"/>
              <w:jc w:val="left"/>
            </w:pPr>
            <w:r>
              <w:t xml:space="preserve">Preventive Maintenance Schedule Development &amp; Documentation</w:t>
            </w:r>
          </w:p>
        </w:tc>
        <w:tc>
          <w:tcPr/>
          <w:p>
            <w:pPr>
              <w:pStyle w:val="Compact"/>
              <w:jc w:val="left"/>
            </w:pPr>
            <w:r>
              <w:t xml:space="preserve">1 package</w:t>
            </w:r>
          </w:p>
        </w:tc>
        <w:tc>
          <w:tcPr/>
          <w:p>
            <w:pPr>
              <w:pStyle w:val="Compact"/>
              <w:jc w:val="left"/>
            </w:pPr>
            <w:r>
              <w:t xml:space="preserve">12,000</w:t>
            </w:r>
          </w:p>
        </w:tc>
        <w:tc>
          <w:tcPr/>
          <w:p>
            <w:pPr>
              <w:pStyle w:val="Compact"/>
              <w:jc w:val="left"/>
            </w:pPr>
            <w:r>
              <w:t xml:space="preserve">12,000.00</w:t>
            </w:r>
          </w:p>
        </w:tc>
      </w:tr>
      <w:tr>
        <w:tc>
          <w:tcPr/>
          <w:p>
            <w:pPr>
              <w:pStyle w:val="Compact"/>
              <w:jc w:val="left"/>
            </w:pPr>
            <w:r>
              <w:t xml:space="preserve">05</w:t>
            </w:r>
          </w:p>
        </w:tc>
        <w:tc>
          <w:tcPr/>
          <w:p>
            <w:pPr>
              <w:pStyle w:val="Compact"/>
              <w:jc w:val="left"/>
            </w:pPr>
            <w:r>
              <w:t xml:space="preserve">Digital Monitoring System Design, Installation &amp; Commissioning</w:t>
            </w:r>
          </w:p>
        </w:tc>
        <w:tc>
          <w:tcPr/>
          <w:p>
            <w:pPr>
              <w:pStyle w:val="Compact"/>
              <w:jc w:val="left"/>
            </w:pPr>
            <w:r>
              <w:t xml:space="preserve">1 system</w:t>
            </w:r>
          </w:p>
        </w:tc>
        <w:tc>
          <w:tcPr/>
          <w:p>
            <w:pPr>
              <w:pStyle w:val="Compact"/>
              <w:jc w:val="left"/>
            </w:pPr>
            <w:r>
              <w:t xml:space="preserve">34,500</w:t>
            </w:r>
          </w:p>
        </w:tc>
        <w:tc>
          <w:tcPr/>
          <w:p>
            <w:pPr>
              <w:pStyle w:val="Compact"/>
              <w:jc w:val="left"/>
            </w:pPr>
            <w:r>
              <w:t xml:space="preserve">34,500.00</w:t>
            </w:r>
          </w:p>
        </w:tc>
      </w:tr>
      <w:tr>
        <w:tc>
          <w:tcPr/>
          <w:p>
            <w:pPr>
              <w:pStyle w:val="Compact"/>
              <w:jc w:val="left"/>
            </w:pPr>
            <w:r>
              <w:t xml:space="preserve">06</w:t>
            </w:r>
          </w:p>
        </w:tc>
        <w:tc>
          <w:tcPr/>
          <w:p>
            <w:pPr>
              <w:pStyle w:val="Compact"/>
              <w:jc w:val="left"/>
            </w:pPr>
            <w:r>
              <w:t xml:space="preserve">Dry-Dock Repair Supervision (Tashkent Shipyard, Q3 2025)</w:t>
            </w:r>
          </w:p>
        </w:tc>
        <w:tc>
          <w:tcPr/>
          <w:p>
            <w:pPr>
              <w:pStyle w:val="Compact"/>
              <w:jc w:val="left"/>
            </w:pPr>
            <w:r>
              <w:t xml:space="preserve">8 weeks</w:t>
            </w:r>
          </w:p>
        </w:tc>
        <w:tc>
          <w:tcPr/>
          <w:p>
            <w:pPr>
              <w:pStyle w:val="Compact"/>
              <w:jc w:val="left"/>
            </w:pPr>
            <w:r>
              <w:t xml:space="preserve">3,800 / week</w:t>
            </w:r>
          </w:p>
        </w:tc>
        <w:tc>
          <w:tcPr/>
          <w:p>
            <w:pPr>
              <w:pStyle w:val="Compact"/>
              <w:jc w:val="left"/>
            </w:pPr>
            <w:r>
              <w:t xml:space="preserve">30,400.00</w:t>
            </w:r>
          </w:p>
        </w:tc>
      </w:tr>
      <w:tr>
        <w:tc>
          <w:tcPr/>
          <w:p>
            <w:pPr>
              <w:pStyle w:val="Compact"/>
              <w:jc w:val="left"/>
            </w:pPr>
            <w:r>
              <w:t xml:space="preserve">07</w:t>
            </w:r>
          </w:p>
        </w:tc>
        <w:tc>
          <w:tcPr/>
          <w:p>
            <w:pPr>
              <w:pStyle w:val="Compact"/>
              <w:jc w:val="left"/>
            </w:pPr>
            <w:r>
              <w:t xml:space="preserve">Technician Training Programme (15 personnel, 5-day intensive)</w:t>
            </w:r>
          </w:p>
        </w:tc>
        <w:tc>
          <w:tcPr/>
          <w:p>
            <w:pPr>
              <w:pStyle w:val="Compact"/>
              <w:jc w:val="left"/>
            </w:pPr>
            <w:r>
              <w:t xml:space="preserve">15 trainees</w:t>
            </w:r>
          </w:p>
        </w:tc>
        <w:tc>
          <w:tcPr/>
          <w:p>
            <w:pPr>
              <w:pStyle w:val="Compact"/>
              <w:jc w:val="left"/>
            </w:pPr>
            <w:r>
              <w:t xml:space="preserve">650 / trainee</w:t>
            </w:r>
          </w:p>
        </w:tc>
        <w:tc>
          <w:tcPr/>
          <w:p>
            <w:pPr>
              <w:pStyle w:val="Compact"/>
              <w:jc w:val="left"/>
            </w:pPr>
            <w:r>
              <w:t xml:space="preserve">9,750.00</w:t>
            </w:r>
          </w:p>
        </w:tc>
      </w:tr>
      <w:tr>
        <w:tc>
          <w:tcPr/>
          <w:p>
            <w:pPr>
              <w:pStyle w:val="Compact"/>
              <w:jc w:val="left"/>
            </w:pPr>
            <w:r>
              <w:t xml:space="preserve">08</w:t>
            </w:r>
          </w:p>
        </w:tc>
        <w:tc>
          <w:tcPr/>
          <w:p>
            <w:pPr>
              <w:pStyle w:val="Compact"/>
              <w:jc w:val="left"/>
            </w:pPr>
            <w:r>
              <w:t xml:space="preserve">Long-Term Fleet Modernization Capital Plan &amp; Technical Report</w:t>
            </w:r>
          </w:p>
        </w:tc>
        <w:tc>
          <w:tcPr/>
          <w:p>
            <w:pPr>
              <w:pStyle w:val="Compact"/>
              <w:jc w:val="left"/>
            </w:pPr>
            <w:r>
              <w:t xml:space="preserve">1 report</w:t>
            </w:r>
          </w:p>
        </w:tc>
        <w:tc>
          <w:tcPr/>
          <w:p>
            <w:pPr>
              <w:pStyle w:val="Compact"/>
              <w:jc w:val="left"/>
            </w:pPr>
            <w:r>
              <w:t xml:space="preserve">15,000</w:t>
            </w:r>
          </w:p>
        </w:tc>
        <w:tc>
          <w:tcPr/>
          <w:p>
            <w:pPr>
              <w:pStyle w:val="Compact"/>
              <w:jc w:val="left"/>
            </w:pPr>
            <w:r>
              <w:t xml:space="preserve">15,000.00</w:t>
            </w:r>
          </w:p>
        </w:tc>
      </w:tr>
      <w:tr>
        <w:tc>
          <w:tcPr/>
          <w:p>
            <w:pPr>
              <w:pStyle w:val="Compact"/>
              <w:jc w:val="left"/>
            </w:pPr>
            <w:r>
              <w:t xml:space="preserve">09</w:t>
            </w:r>
          </w:p>
        </w:tc>
        <w:tc>
          <w:tcPr/>
          <w:p>
            <w:pPr>
              <w:pStyle w:val="Compact"/>
              <w:jc w:val="left"/>
            </w:pPr>
            <w:r>
              <w:t xml:space="preserve">Monthly Progress Reporting &amp; KPI Dashboard (6 reports)</w:t>
            </w:r>
          </w:p>
        </w:tc>
        <w:tc>
          <w:tcPr/>
          <w:p>
            <w:pPr>
              <w:pStyle w:val="Compact"/>
              <w:jc w:val="left"/>
            </w:pPr>
            <w:r>
              <w:t xml:space="preserve">6 months</w:t>
            </w:r>
          </w:p>
        </w:tc>
        <w:tc>
          <w:tcPr/>
          <w:p>
            <w:pPr>
              <w:pStyle w:val="Compact"/>
              <w:jc w:val="left"/>
            </w:pPr>
            <w:r>
              <w:t xml:space="preserve">1,200 / month</w:t>
            </w:r>
          </w:p>
        </w:tc>
        <w:tc>
          <w:tcPr/>
          <w:p>
            <w:pPr>
              <w:pStyle w:val="Compact"/>
              <w:jc w:val="left"/>
            </w:pPr>
            <w:r>
              <w:t xml:space="preserve">7,200.00</w:t>
            </w:r>
          </w:p>
        </w:tc>
      </w:tr>
      <w:tr>
        <w:tc>
          <w:tcPr/>
          <w:p>
            <w:pPr>
              <w:pStyle w:val="Compact"/>
              <w:jc w:val="left"/>
            </w:pPr>
            <w:r>
              <w:t xml:space="preserve">10</w:t>
            </w:r>
          </w:p>
        </w:tc>
        <w:tc>
          <w:tcPr/>
          <w:p>
            <w:pPr>
              <w:pStyle w:val="Compact"/>
              <w:jc w:val="left"/>
            </w:pPr>
            <w:r>
              <w:t xml:space="preserve">Travel, Accommodation &amp; Local Transport (Uzbekistan Tashkent)</w:t>
            </w:r>
          </w:p>
        </w:tc>
        <w:tc>
          <w:tcPr/>
          <w:p>
            <w:pPr>
              <w:pStyle w:val="Compact"/>
              <w:jc w:val="left"/>
            </w:pPr>
            <w:r>
              <w:t xml:space="preserve">6 months</w:t>
            </w:r>
          </w:p>
        </w:tc>
        <w:tc>
          <w:tcPr/>
          <w:p>
            <w:pPr>
              <w:pStyle w:val="Compact"/>
              <w:jc w:val="left"/>
            </w:pPr>
            <w:r>
              <w:t xml:space="preserve">2,100 / month</w:t>
            </w:r>
          </w:p>
        </w:tc>
        <w:tc>
          <w:tcPr/>
          <w:p>
            <w:pPr>
              <w:pStyle w:val="Compact"/>
              <w:jc w:val="left"/>
            </w:pPr>
            <w:r>
              <w:t xml:space="preserve">12,600.00</w:t>
            </w:r>
          </w:p>
        </w:tc>
      </w:tr>
      <w:tr>
        <w:tc>
          <w:tcPr/>
          <w:p>
            <w:pPr>
              <w:pStyle w:val="Compact"/>
              <w:jc w:val="left"/>
            </w:pPr>
            <w:r>
              <w:t xml:space="preserve">11</w:t>
            </w:r>
          </w:p>
        </w:tc>
        <w:tc>
          <w:tcPr/>
          <w:p>
            <w:pPr>
              <w:pStyle w:val="Compact"/>
              <w:jc w:val="left"/>
            </w:pPr>
            <w:r>
              <w:t xml:space="preserve">Specialized Diagnostic Tools &amp; Calibration Equipment (rental)</w:t>
            </w:r>
          </w:p>
        </w:tc>
        <w:tc>
          <w:tcPr/>
          <w:p>
            <w:pPr>
              <w:pStyle w:val="Compact"/>
              <w:jc w:val="left"/>
            </w:pPr>
            <w:r>
              <w:t xml:space="preserve">6 months</w:t>
            </w:r>
          </w:p>
        </w:tc>
        <w:tc>
          <w:tcPr/>
          <w:p>
            <w:pPr>
              <w:pStyle w:val="Compact"/>
              <w:jc w:val="left"/>
            </w:pPr>
            <w:r>
              <w:t xml:space="preserve">1,800 / month</w:t>
            </w:r>
          </w:p>
        </w:tc>
        <w:tc>
          <w:tcPr/>
          <w:p>
            <w:pPr>
              <w:pStyle w:val="Compact"/>
              <w:jc w:val="left"/>
            </w:pPr>
            <w:r>
              <w:t xml:space="preserve">10,800.00</w:t>
            </w:r>
          </w:p>
        </w:tc>
      </w:tr>
      <w:tr>
        <w:tc>
          <w:tcPr/>
          <w:p>
            <w:pPr>
              <w:pStyle w:val="Compact"/>
              <w:jc w:val="left"/>
            </w:pPr>
            <w:r>
              <w:t xml:space="preserve">12</w:t>
            </w:r>
          </w:p>
        </w:tc>
        <w:tc>
          <w:tcPr/>
          <w:p>
            <w:pPr>
              <w:pStyle w:val="Compact"/>
              <w:jc w:val="left"/>
            </w:pPr>
            <w:r>
              <w:t xml:space="preserve">Insurance, Permits &amp; Regulatory Compliance (Uzbekistan)</w:t>
            </w:r>
          </w:p>
        </w:tc>
        <w:tc>
          <w:tcPr/>
          <w:p>
            <w:pPr>
              <w:pStyle w:val="Compact"/>
              <w:jc w:val="left"/>
            </w:pPr>
            <w:r>
              <w:t xml:space="preserve">1 package</w:t>
            </w:r>
          </w:p>
        </w:tc>
        <w:tc>
          <w:tcPr/>
          <w:p>
            <w:pPr>
              <w:pStyle w:val="Compact"/>
              <w:jc w:val="left"/>
            </w:pPr>
            <w:r>
              <w:t xml:space="preserve">4,500</w:t>
            </w:r>
          </w:p>
        </w:tc>
        <w:tc>
          <w:tcPr/>
          <w:p>
            <w:pPr>
              <w:pStyle w:val="Compact"/>
              <w:jc w:val="left"/>
            </w:pPr>
            <w:r>
              <w:t xml:space="preserve">4,500.00</w:t>
            </w:r>
          </w:p>
        </w:tc>
      </w:tr>
      <w:tr>
        <w:tc>
          <w:tcPr>
            <w:gridSpan w:val="4"/>
          </w:tcPr>
          <w:p>
            <w:pPr>
              <w:pStyle w:val="Compact"/>
              <w:jc w:val="left"/>
            </w:pPr>
            <w:r>
              <w:rPr>
                <w:bCs/>
                <w:b/>
              </w:rPr>
              <w:t xml:space="preserve">Subtotal (USD)</w:t>
            </w:r>
          </w:p>
        </w:tc>
        <w:tc>
          <w:tcPr/>
          <w:p>
            <w:pPr>
              <w:pStyle w:val="Compact"/>
              <w:jc w:val="left"/>
            </w:pPr>
            <w:r>
              <w:rPr>
                <w:bCs/>
                <w:b/>
              </w:rPr>
              <w:t xml:space="preserve">252,550.00</w:t>
            </w:r>
          </w:p>
        </w:tc>
      </w:tr>
      <w:tr>
        <w:tc>
          <w:tcPr>
            <w:gridSpan w:val="4"/>
          </w:tcPr>
          <w:p>
            <w:pPr>
              <w:pStyle w:val="Compact"/>
              <w:jc w:val="left"/>
            </w:pPr>
            <w:r>
              <w:rPr>
                <w:bCs/>
                <w:b/>
              </w:rPr>
              <w:t xml:space="preserve">VAT (12% – Uzbekistan)</w:t>
            </w:r>
          </w:p>
        </w:tc>
        <w:tc>
          <w:tcPr/>
          <w:p>
            <w:pPr>
              <w:pStyle w:val="Compact"/>
              <w:jc w:val="left"/>
            </w:pPr>
            <w:r>
              <w:rPr>
                <w:bCs/>
                <w:b/>
              </w:rPr>
              <w:t xml:space="preserve">30,306.00</w:t>
            </w:r>
          </w:p>
        </w:tc>
      </w:tr>
      <w:tr>
        <w:tc>
          <w:tcPr>
            <w:gridSpan w:val="4"/>
          </w:tcPr>
          <w:p>
            <w:pPr>
              <w:pStyle w:val="Compact"/>
              <w:jc w:val="left"/>
            </w:pPr>
            <w:r>
              <w:rPr>
                <w:bCs/>
                <w:b/>
              </w:rPr>
              <w:t xml:space="preserve">GRAND TOTAL (USD)</w:t>
            </w:r>
          </w:p>
        </w:tc>
        <w:tc>
          <w:tcPr/>
          <w:p>
            <w:pPr>
              <w:pStyle w:val="Compact"/>
              <w:jc w:val="left"/>
            </w:pPr>
            <w:r>
              <w:rPr>
                <w:bCs/>
                <w:b/>
              </w:rPr>
              <w:t xml:space="preserve">282,856.00</w:t>
            </w:r>
          </w:p>
        </w:tc>
      </w:tr>
    </w:tbl>
    <w:bookmarkEnd w:id="23"/>
    <w:bookmarkStart w:id="24" w:name="payment-terms"/>
    <w:p>
      <w:pPr>
        <w:pStyle w:val="Heading2"/>
      </w:pPr>
      <w:r>
        <w:t xml:space="preserve">4. Payment Terms</w:t>
      </w:r>
    </w:p>
    <w:p>
      <w:pPr>
        <w:pStyle w:val="FirstParagraph"/>
      </w:pPr>
      <w:r>
        <w:t xml:space="preserve">Payment for this</w:t>
      </w:r>
      <w:r>
        <w:t xml:space="preserve"> </w:t>
      </w:r>
      <w:r>
        <w:t xml:space="preserve">Quotation Estimate</w:t>
      </w:r>
      <w:r>
        <w:t xml:space="preserve"> </w:t>
      </w:r>
      <w:r>
        <w:t xml:space="preserve">shall be structured as follows:</w:t>
      </w:r>
    </w:p>
    <w:p>
      <w:pPr>
        <w:numPr>
          <w:ilvl w:val="0"/>
          <w:numId w:val="1002"/>
        </w:numPr>
        <w:pStyle w:val="Compact"/>
      </w:pPr>
      <w:r>
        <w:rPr>
          <w:bCs/>
          <w:b/>
        </w:rPr>
        <w:t xml:space="preserve">30% Advance Payment</w:t>
      </w:r>
      <w:r>
        <w:t xml:space="preserve"> </w:t>
      </w:r>
      <w:r>
        <w:t xml:space="preserve">(USD 84,856.80) – due within 10 business days of contract signature.</w:t>
      </w:r>
    </w:p>
    <w:p>
      <w:pPr>
        <w:numPr>
          <w:ilvl w:val="0"/>
          <w:numId w:val="1002"/>
        </w:numPr>
        <w:pStyle w:val="Compact"/>
      </w:pPr>
      <w:r>
        <w:rPr>
          <w:bCs/>
          <w:b/>
        </w:rPr>
        <w:t xml:space="preserve">40% Milestone Payment</w:t>
      </w:r>
      <w:r>
        <w:t xml:space="preserve"> </w:t>
      </w:r>
      <w:r>
        <w:t xml:space="preserve">(USD 113,142.40) – due upon completion of the vessel condition survey and submission of the preventive maintenance schedule.</w:t>
      </w:r>
    </w:p>
    <w:p>
      <w:pPr>
        <w:numPr>
          <w:ilvl w:val="0"/>
          <w:numId w:val="1002"/>
        </w:numPr>
        <w:pStyle w:val="Compact"/>
      </w:pPr>
      <w:r>
        <w:rPr>
          <w:bCs/>
          <w:b/>
        </w:rPr>
        <w:t xml:space="preserve">30% Final Payment</w:t>
      </w:r>
      <w:r>
        <w:t xml:space="preserve"> </w:t>
      </w:r>
      <w:r>
        <w:t xml:space="preserve">(USD 84,856.80) – due upon delivery of the final technical report, completion of the training programme, and acceptance of all deliverables by the Tashkent Port Authority.</w:t>
      </w:r>
    </w:p>
    <w:p>
      <w:pPr>
        <w:pStyle w:val="FirstParagraph"/>
      </w:pPr>
      <w:r>
        <w:t xml:space="preserve">All payments shall be made via international wire transfer to the following account: Bank of Uzbekistan, Account No. UZ00 9876 5432 1098, SWIFT: UZBKUZ2X. Currency: US Dollars (USD).</w:t>
      </w:r>
    </w:p>
    <w:bookmarkEnd w:id="24"/>
    <w:bookmarkStart w:id="25" w:name="terms-and-conditions"/>
    <w:p>
      <w:pPr>
        <w:pStyle w:val="Heading2"/>
      </w:pPr>
      <w:r>
        <w:t xml:space="preserve">5. Terms and Conditions</w:t>
      </w:r>
    </w:p>
    <w:p>
      <w:pPr>
        <w:numPr>
          <w:ilvl w:val="0"/>
          <w:numId w:val="1003"/>
        </w:numPr>
        <w:pStyle w:val="Compact"/>
      </w:pPr>
      <w:r>
        <w:t xml:space="preserve">This</w:t>
      </w:r>
      <w:r>
        <w:t xml:space="preserve"> </w:t>
      </w:r>
      <w:r>
        <w:t xml:space="preserve">Quotation Estimate</w:t>
      </w:r>
      <w:r>
        <w:t xml:space="preserve"> </w:t>
      </w:r>
      <w:r>
        <w:t xml:space="preserve">is valid for 30 calendar days from the date of issue. After the expiry date, pricing may be subject to revision based on market conditions in</w:t>
      </w:r>
      <w:r>
        <w:t xml:space="preserve"> </w:t>
      </w:r>
      <w:r>
        <w:t xml:space="preserve">Uzbekistan Tashkent</w:t>
      </w:r>
      <w:r>
        <w:t xml:space="preserve">.</w:t>
      </w:r>
    </w:p>
    <w:p>
      <w:pPr>
        <w:numPr>
          <w:ilvl w:val="0"/>
          <w:numId w:val="1003"/>
        </w:numPr>
        <w:pStyle w:val="Compact"/>
      </w:pPr>
      <w:r>
        <w:t xml:space="preserve">The</w:t>
      </w:r>
      <w:r>
        <w:t xml:space="preserve"> </w:t>
      </w:r>
      <w:r>
        <w:t xml:space="preserve">Marine Engineer</w:t>
      </w:r>
      <w:r>
        <w:t xml:space="preserve"> </w:t>
      </w:r>
      <w:r>
        <w:t xml:space="preserve">team shall comply with all applicable laws, regulations, and safety standards of the Republic of Uzbekistan, including those issued by the State Committee for Technical Supervision.</w:t>
      </w:r>
    </w:p>
    <w:p>
      <w:pPr>
        <w:numPr>
          <w:ilvl w:val="0"/>
          <w:numId w:val="1003"/>
        </w:numPr>
        <w:pStyle w:val="Compact"/>
      </w:pPr>
      <w:r>
        <w:t xml:space="preserve">NavalTech Engineering Solutions LLP shall provide a 12-month warranty on all design deliverables, documentation, and the digital monitoring system.</w:t>
      </w:r>
    </w:p>
    <w:p>
      <w:pPr>
        <w:numPr>
          <w:ilvl w:val="0"/>
          <w:numId w:val="1003"/>
        </w:numPr>
        <w:pStyle w:val="Compact"/>
      </w:pPr>
      <w:r>
        <w:t xml:space="preserve">Any changes to the scope of work must be agreed upon in writing via a formal Change Order. Additional costs will be quoted separately.</w:t>
      </w:r>
    </w:p>
    <w:p>
      <w:pPr>
        <w:numPr>
          <w:ilvl w:val="0"/>
          <w:numId w:val="1003"/>
        </w:numPr>
        <w:pStyle w:val="Compact"/>
      </w:pPr>
      <w:r>
        <w:t xml:space="preserve">Confidentiality: All technical data, vessel specifications, and operational information shared during the engagement shall be treated as strictly confidential and shall not be disclosed to third parties without written consent.</w:t>
      </w:r>
    </w:p>
    <w:p>
      <w:pPr>
        <w:numPr>
          <w:ilvl w:val="0"/>
          <w:numId w:val="1003"/>
        </w:numPr>
        <w:pStyle w:val="Compact"/>
      </w:pPr>
      <w:r>
        <w:t xml:space="preserve">Force Majeure: Neither party shall be liable for delays or non-performance resulting from events beyond reasonable control, including but not limited to natural disasters, government sanctions, or pandemics.</w:t>
      </w:r>
    </w:p>
    <w:p>
      <w:pPr>
        <w:numPr>
          <w:ilvl w:val="0"/>
          <w:numId w:val="1003"/>
        </w:numPr>
        <w:pStyle w:val="Compact"/>
      </w:pPr>
      <w:r>
        <w:t xml:space="preserve">Governing Law: This agreement shall be governed by and construed in accordance with the laws of the Republic of Uzbekistan. Disputes shall be resolved through arbitration at the International Arbitration Centre in Tashkent.</w:t>
      </w:r>
    </w:p>
    <w:p>
      <w:pPr>
        <w:pStyle w:val="FirstParagraph"/>
      </w:pPr>
      <w:r>
        <w:rPr>
          <w:bCs/>
          <w:b/>
        </w:rPr>
        <w:t xml:space="preserve">Note:</w:t>
      </w:r>
      <w:r>
        <w:t xml:space="preserve"> </w:t>
      </w:r>
      <w:r>
        <w:t xml:space="preserve">This Quotation Estimate assumes standard working conditions at the Tashkent Port facilities. If the Marine Engineer is required to conduct surveys or repairs at alternative inland waterway locations within Uzbekistan (e.g., Samarkand, Bukhara, or the Aral Sea basin), additional travel and accommodation costs will be applied at a rate of USD 350 per day per engineer, subject to prior written approval.</w:t>
      </w:r>
    </w:p>
    <w:bookmarkEnd w:id="25"/>
    <w:bookmarkStart w:id="26" w:name="acceptance-and-authorization"/>
    <w:p>
      <w:pPr>
        <w:pStyle w:val="Heading2"/>
      </w:pPr>
      <w:r>
        <w:t xml:space="preserve">6. Acceptance and Authorization</w:t>
      </w:r>
    </w:p>
    <w:p>
      <w:pPr>
        <w:pStyle w:val="FirstParagraph"/>
      </w:pPr>
      <w:r>
        <w:t xml:space="preserve">By signing below, both parties acknowledge and agree to the terms, scope, and pricing outlined in this</w:t>
      </w:r>
      <w:r>
        <w:t xml:space="preserve"> </w:t>
      </w:r>
      <w:r>
        <w:t xml:space="preserve">Quotation Estimate</w:t>
      </w:r>
      <w:r>
        <w:t xml:space="preserve"> </w:t>
      </w:r>
      <w:r>
        <w:t xml:space="preserve">for the engagement of the</w:t>
      </w:r>
      <w:r>
        <w:t xml:space="preserve"> </w:t>
      </w:r>
      <w:r>
        <w:t xml:space="preserve">Marine Engineer</w:t>
      </w:r>
      <w:r>
        <w:t xml:space="preserve"> </w:t>
      </w:r>
      <w:r>
        <w:t xml:space="preserve">services in</w:t>
      </w:r>
      <w:r>
        <w:t xml:space="preserve"> </w:t>
      </w:r>
      <w:r>
        <w:t xml:space="preserve">Uzbekistan Tashkent</w:t>
      </w:r>
      <w:r>
        <w:t xml:space="preserve">.</w:t>
      </w:r>
    </w:p>
    <w:p>
      <w:pPr>
        <w:pStyle w:val="BodyText"/>
      </w:pPr>
      <w:r>
        <w:rPr>
          <w:bCs/>
          <w:b/>
        </w:rPr>
        <w:t xml:space="preserve">For NavalTech Engineering Solutions LLP</w:t>
      </w:r>
      <w:r>
        <w:br/>
      </w:r>
      <w:r>
        <w:t xml:space="preserve">Name: Dr. Elena Vasquez</w:t>
      </w:r>
      <w:r>
        <w:br/>
      </w:r>
      <w:r>
        <w:t xml:space="preserve">Title: Managing Director</w:t>
      </w:r>
      <w:r>
        <w:br/>
      </w:r>
      <w:r>
        <w:t xml:space="preserve">Date: _______________</w:t>
      </w:r>
    </w:p>
    <w:p>
      <w:pPr>
        <w:pStyle w:val="BodyText"/>
      </w:pPr>
      <w:r>
        <w:rPr>
          <w:bCs/>
          <w:b/>
        </w:rPr>
        <w:t xml:space="preserve">For Tashkent Port &amp; Inland Waterways Authority</w:t>
      </w:r>
      <w:r>
        <w:br/>
      </w:r>
      <w:r>
        <w:t xml:space="preserve">Name: Mr. Rustam Karimov</w:t>
      </w:r>
      <w:r>
        <w:br/>
      </w:r>
      <w:r>
        <w:t xml:space="preserve">Title: Chief Operations Director</w:t>
      </w:r>
      <w:r>
        <w:br/>
      </w:r>
      <w:r>
        <w:t xml:space="preserve">Date: _______________</w:t>
      </w:r>
    </w:p>
    <w:p>
      <w:pPr>
        <w:pStyle w:val="BodyText"/>
      </w:pPr>
      <w:r>
        <w:t xml:space="preserve">Quotation Estimate No. QTE-2025-ME-0347 | NavalTech Engineering Solutions LLP | Tashkent, Uzbekistan</w:t>
      </w:r>
    </w:p>
    <w:p>
      <w:pPr>
        <w:pStyle w:val="BodyText"/>
      </w:pPr>
      <w:r>
        <w:t xml:space="preserve">This document is generated electronically and is valid without a physical stamp. Page 1 of 1.</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Marine Engineer - Uzbekistan Tashkent</dc:title>
  <dc:creator/>
  <dc:language>en</dc:language>
  <cp:keywords/>
  <dcterms:created xsi:type="dcterms:W3CDTF">2026-10-10T01:21:31Z</dcterms:created>
  <dcterms:modified xsi:type="dcterms:W3CDTF">2026-10-10T01:21:31Z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