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Peru Lima | Valid for 30 Days</w:t>
      </w:r>
    </w:p>
    <w:bookmarkEnd w:id="20"/>
    <w:p>
      <w:pPr>
        <w:pStyle w:val="BodyText"/>
      </w:pPr>
      <w:r>
        <w:t xml:space="preserve">Quotation No.: QTE-LIM-2025-0487</w:t>
      </w:r>
      <w:r>
        <w:t xml:space="preserve"> </w:t>
      </w:r>
      <w:r>
        <w:t xml:space="preserve">Date of Issue: June 15, 2025</w:t>
      </w:r>
      <w:r>
        <w:t xml:space="preserve"> </w:t>
      </w:r>
      <w:r>
        <w:t xml:space="preserve">Expiry Date: July 15, 2025</w:t>
      </w:r>
    </w:p>
    <w:bookmarkStart w:id="21" w:name="prepared-by-service-provider"/>
    <w:p>
      <w:pPr>
        <w:pStyle w:val="Heading3"/>
      </w:pPr>
      <w:r>
        <w:t xml:space="preserve">Prepared By (Service Provider)</w:t>
      </w:r>
    </w:p>
    <w:p>
      <w:pPr>
        <w:pStyle w:val="FirstParagraph"/>
      </w:pPr>
      <w:r>
        <w:rPr>
          <w:bCs/>
          <w:b/>
        </w:rPr>
        <w:t xml:space="preserve">Andes Digital Solutions S.A.C.</w:t>
      </w:r>
    </w:p>
    <w:p>
      <w:pPr>
        <w:pStyle w:val="BodyText"/>
      </w:pPr>
      <w:r>
        <w:t xml:space="preserve">RUC: 20601234567</w:t>
      </w:r>
    </w:p>
    <w:p>
      <w:pPr>
        <w:pStyle w:val="BodyText"/>
      </w:pPr>
      <w:r>
        <w:t xml:space="preserve">Av. Javier Prado Este 1250, Of. 804</w:t>
      </w:r>
    </w:p>
    <w:p>
      <w:pPr>
        <w:pStyle w:val="BodyText"/>
      </w:pPr>
      <w:r>
        <w:t xml:space="preserve">San Isidro, Peru Lima, 15081</w:t>
      </w:r>
    </w:p>
    <w:p>
      <w:pPr>
        <w:pStyle w:val="BodyText"/>
      </w:pPr>
      <w:r>
        <w:t xml:space="preserve">Email: proposals@andesdigital.pe</w:t>
      </w:r>
    </w:p>
    <w:p>
      <w:pPr>
        <w:pStyle w:val="BodyText"/>
      </w:pPr>
      <w:r>
        <w:t xml:space="preserve">Phone: +51 1 456 7890</w:t>
      </w:r>
    </w:p>
    <w:bookmarkEnd w:id="21"/>
    <w:bookmarkStart w:id="22" w:name="prepared-for-client"/>
    <w:p>
      <w:pPr>
        <w:pStyle w:val="Heading3"/>
      </w:pPr>
      <w:r>
        <w:t xml:space="preserve">Prepared For (Client)</w:t>
      </w:r>
    </w:p>
    <w:p>
      <w:pPr>
        <w:pStyle w:val="FirstParagraph"/>
      </w:pPr>
      <w:r>
        <w:rPr>
          <w:bCs/>
          <w:b/>
        </w:rPr>
        <w:t xml:space="preserve">Grupo Comercial del Pacífico S.A.C.</w:t>
      </w:r>
    </w:p>
    <w:p>
      <w:pPr>
        <w:pStyle w:val="BodyText"/>
      </w:pPr>
      <w:r>
        <w:t xml:space="preserve">RUC: 20509876543</w:t>
      </w:r>
    </w:p>
    <w:p>
      <w:pPr>
        <w:pStyle w:val="BodyText"/>
      </w:pPr>
      <w:r>
        <w:t xml:space="preserve">Calle Los Incas 450, Piso 12</w:t>
      </w:r>
    </w:p>
    <w:p>
      <w:pPr>
        <w:pStyle w:val="BodyText"/>
      </w:pPr>
      <w:r>
        <w:t xml:space="preserve">Miraflores, Peru Lima, 15076</w:t>
      </w:r>
    </w:p>
    <w:p>
      <w:pPr>
        <w:pStyle w:val="BodyText"/>
      </w:pPr>
      <w:r>
        <w:t xml:space="preserve">Email: procurement@grupopacifico.pe</w:t>
      </w:r>
    </w:p>
    <w:p>
      <w:pPr>
        <w:pStyle w:val="BodyText"/>
      </w:pPr>
      <w:r>
        <w:t xml:space="preserve">Phone: +51 1 234 5678</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Andes Digital Solutions S.A.C. to Grupo Comercial del Pacífico S.A.C. for the recruitment, onboarding, and ongoing professional engagement of a senior</w:t>
      </w:r>
      <w:r>
        <w:t xml:space="preserve"> </w:t>
      </w:r>
      <w:r>
        <w:t xml:space="preserve">Marketing Manager</w:t>
      </w:r>
      <w:r>
        <w:t xml:space="preserve"> </w:t>
      </w:r>
      <w:r>
        <w:t xml:space="preserve">to be based and operational in</w:t>
      </w:r>
      <w:r>
        <w:t xml:space="preserve"> </w:t>
      </w:r>
      <w:r>
        <w:t xml:space="preserve">Peru Lima</w:t>
      </w:r>
      <w:r>
        <w:t xml:space="preserve">. This document outlines the complete scope of services, associated costs, payment schedule, and contractual terms governing the proposed engagement. All pricing is presented in Peruvian Soles (PEN) and reflects current market rates for executive-level marketing professionals within the Lima metropolitan area.</w:t>
      </w:r>
    </w:p>
    <w:bookmarkEnd w:id="23"/>
    <w:bookmarkStart w:id="24" w:name="scope-of-services-marketing-manager-role"/>
    <w:p>
      <w:pPr>
        <w:pStyle w:val="Heading2"/>
      </w:pPr>
      <w:r>
        <w:t xml:space="preserve">2. Scope of Services – Marketing Manager Role</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Quotation Estimate</w:t>
      </w:r>
      <w:r>
        <w:t xml:space="preserve"> </w:t>
      </w:r>
      <w:r>
        <w:t xml:space="preserve">will be responsible for the following core duties, all to be executed from the client's headquarters or designated office in</w:t>
      </w:r>
      <w:r>
        <w:t xml:space="preserve"> </w:t>
      </w:r>
      <w:r>
        <w:t xml:space="preserve">Peru Lima</w:t>
      </w:r>
      <w:r>
        <w:t xml:space="preserve">:</w:t>
      </w:r>
    </w:p>
    <w:p>
      <w:pPr>
        <w:numPr>
          <w:ilvl w:val="0"/>
          <w:numId w:val="1001"/>
        </w:numPr>
        <w:pStyle w:val="Compact"/>
      </w:pPr>
      <w:r>
        <w:t xml:space="preserve">Development and execution of integrated marketing strategies aligned with the company's annual business objectives and the competitive landscape of the Peruvian market.</w:t>
      </w:r>
    </w:p>
    <w:p>
      <w:pPr>
        <w:numPr>
          <w:ilvl w:val="0"/>
          <w:numId w:val="1001"/>
        </w:numPr>
        <w:pStyle w:val="Compact"/>
      </w:pPr>
      <w:r>
        <w:t xml:space="preserve">Management of a multidisciplinary marketing team of up to eight (8) specialists, including digital marketing coordinators, brand designers, and content strategists based in Lima.</w:t>
      </w:r>
    </w:p>
    <w:p>
      <w:pPr>
        <w:numPr>
          <w:ilvl w:val="0"/>
          <w:numId w:val="1001"/>
        </w:numPr>
        <w:pStyle w:val="Compact"/>
      </w:pPr>
      <w:r>
        <w:t xml:space="preserve">Oversight of all digital marketing channels, including social media management, search engine optimization, email marketing campaigns, and paid advertising across platforms relevant to the Peru Lima consumer base.</w:t>
      </w:r>
    </w:p>
    <w:p>
      <w:pPr>
        <w:numPr>
          <w:ilvl w:val="0"/>
          <w:numId w:val="1001"/>
        </w:numPr>
        <w:pStyle w:val="Compact"/>
      </w:pPr>
      <w:r>
        <w:t xml:space="preserve">Planning and coordination of trade shows, product launches, and corporate events within the Lima region and, when required, in other Peruvian cities.</w:t>
      </w:r>
    </w:p>
    <w:p>
      <w:pPr>
        <w:numPr>
          <w:ilvl w:val="0"/>
          <w:numId w:val="1001"/>
        </w:numPr>
        <w:pStyle w:val="Compact"/>
      </w:pPr>
      <w:r>
        <w:t xml:space="preserve">Preparation of monthly and quarterly marketing performance reports, including KPI analysis, budget utilization tracking, and ROI assessments.</w:t>
      </w:r>
    </w:p>
    <w:p>
      <w:pPr>
        <w:numPr>
          <w:ilvl w:val="0"/>
          <w:numId w:val="1001"/>
        </w:numPr>
        <w:pStyle w:val="Compact"/>
      </w:pPr>
      <w:r>
        <w:t xml:space="preserve">Collaboration with the Sales and Product Development departments to ensure cohesive go-to-market strategies tailored to the Peruvian consumer behavior and cultural context.</w:t>
      </w:r>
    </w:p>
    <w:p>
      <w:pPr>
        <w:numPr>
          <w:ilvl w:val="0"/>
          <w:numId w:val="1001"/>
        </w:numPr>
        <w:pStyle w:val="Compact"/>
      </w:pPr>
      <w:r>
        <w:t xml:space="preserve">Vendor and agency management for external creative production, media buying, and market research firms operating in Peru Lima.</w:t>
      </w:r>
    </w:p>
    <w:bookmarkEnd w:id="24"/>
    <w:bookmarkStart w:id="25" w:name="financial-breakdown"/>
    <w:p>
      <w:pPr>
        <w:pStyle w:val="Heading2"/>
      </w:pPr>
      <w:r>
        <w:t xml:space="preserve">3. Financial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(PEN)</w:t>
            </w:r>
          </w:p>
        </w:tc>
      </w:tr>
      <w:tr>
        <w:tc>
          <w:tcPr/>
          <w:p>
            <w:pPr>
              <w:pStyle w:val="Compact"/>
              <w:jc w:val="left"/>
            </w:pPr>
            <w:r>
              <w:t xml:space="preserve">1.1</w:t>
            </w:r>
          </w:p>
        </w:tc>
        <w:tc>
          <w:tcPr/>
          <w:p>
            <w:pPr>
              <w:pStyle w:val="Compact"/>
              <w:jc w:val="left"/>
            </w:pPr>
            <w:r>
              <w:t xml:space="preserve">Executive recruitment, screening, and selection of the Marketing Manager candidate in Peru Lima</w:t>
            </w:r>
          </w:p>
        </w:tc>
        <w:tc>
          <w:tcPr/>
          <w:p>
            <w:pPr>
              <w:pStyle w:val="Compact"/>
              <w:jc w:val="left"/>
            </w:pPr>
            <w:r>
              <w:t xml:space="preserve">One-time</w:t>
            </w:r>
          </w:p>
        </w:tc>
        <w:tc>
          <w:tcPr/>
          <w:p>
            <w:pPr>
              <w:pStyle w:val="Compact"/>
              <w:jc w:val="left"/>
            </w:pPr>
            <w:r>
              <w:t xml:space="preserve">12,500.00</w:t>
            </w:r>
          </w:p>
        </w:tc>
      </w:tr>
      <w:tr>
        <w:tc>
          <w:tcPr/>
          <w:p>
            <w:pPr>
              <w:pStyle w:val="Compact"/>
              <w:jc w:val="left"/>
            </w:pPr>
            <w:r>
              <w:t xml:space="preserve">1.2</w:t>
            </w:r>
          </w:p>
        </w:tc>
        <w:tc>
          <w:tcPr/>
          <w:p>
            <w:pPr>
              <w:pStyle w:val="Compact"/>
              <w:jc w:val="left"/>
            </w:pPr>
            <w:r>
              <w:t xml:space="preserve">Onboarding, legal compliance, and labor registration (SUNAT, EsSalud, CCL) for the Marketing Manager</w:t>
            </w:r>
          </w:p>
        </w:tc>
        <w:tc>
          <w:tcPr/>
          <w:p>
            <w:pPr>
              <w:pStyle w:val="Compact"/>
              <w:jc w:val="left"/>
            </w:pPr>
            <w:r>
              <w:t xml:space="preserve">One-time</w:t>
            </w:r>
          </w:p>
        </w:tc>
        <w:tc>
          <w:tcPr/>
          <w:p>
            <w:pPr>
              <w:pStyle w:val="Compact"/>
              <w:jc w:val="left"/>
            </w:pPr>
            <w:r>
              <w:t xml:space="preserve">3,800.00</w:t>
            </w:r>
          </w:p>
        </w:tc>
      </w:tr>
      <w:tr>
        <w:tc>
          <w:tcPr/>
          <w:p>
            <w:pPr>
              <w:pStyle w:val="Compact"/>
              <w:jc w:val="left"/>
            </w:pPr>
            <w:r>
              <w:t xml:space="preserve">2.1</w:t>
            </w:r>
          </w:p>
        </w:tc>
        <w:tc>
          <w:tcPr/>
          <w:p>
            <w:pPr>
              <w:pStyle w:val="Compact"/>
              <w:jc w:val="left"/>
            </w:pPr>
            <w:r>
              <w:t xml:space="preserve">Monthly professional fee for the Marketing Manager (including employer contributions, benefits, and administrative overhead)</w:t>
            </w:r>
          </w:p>
        </w:tc>
        <w:tc>
          <w:tcPr/>
          <w:p>
            <w:pPr>
              <w:pStyle w:val="Compact"/>
              <w:jc w:val="left"/>
            </w:pPr>
            <w:r>
              <w:t xml:space="preserve">12 months</w:t>
            </w:r>
          </w:p>
        </w:tc>
        <w:tc>
          <w:tcPr/>
          <w:p>
            <w:pPr>
              <w:pStyle w:val="Compact"/>
              <w:jc w:val="left"/>
            </w:pPr>
            <w:r>
              <w:t xml:space="preserve">148,800.00</w:t>
            </w:r>
          </w:p>
        </w:tc>
      </w:tr>
      <w:tr>
        <w:tc>
          <w:tcPr/>
          <w:p>
            <w:pPr>
              <w:pStyle w:val="Compact"/>
              <w:jc w:val="left"/>
            </w:pPr>
            <w:r>
              <w:t xml:space="preserve">2.2</w:t>
            </w:r>
          </w:p>
        </w:tc>
        <w:tc>
          <w:tcPr/>
          <w:p>
            <w:pPr>
              <w:pStyle w:val="Compact"/>
              <w:jc w:val="left"/>
            </w:pPr>
            <w:r>
              <w:t xml:space="preserve">Annual performance bonus pool (capped at 15% of base compensation, subject to KPI achievement)</w:t>
            </w:r>
          </w:p>
        </w:tc>
        <w:tc>
          <w:tcPr/>
          <w:p>
            <w:pPr>
              <w:pStyle w:val="Compact"/>
              <w:jc w:val="left"/>
            </w:pPr>
            <w:r>
              <w:t xml:space="preserve">Annual</w:t>
            </w:r>
          </w:p>
        </w:tc>
        <w:tc>
          <w:tcPr/>
          <w:p>
            <w:pPr>
              <w:pStyle w:val="Compact"/>
              <w:jc w:val="left"/>
            </w:pPr>
            <w:r>
              <w:t xml:space="preserve">18,600.00</w:t>
            </w:r>
          </w:p>
        </w:tc>
      </w:tr>
      <w:tr>
        <w:tc>
          <w:tcPr/>
          <w:p>
            <w:pPr>
              <w:pStyle w:val="Compact"/>
              <w:jc w:val="left"/>
            </w:pPr>
            <w:r>
              <w:t xml:space="preserve">3.1</w:t>
            </w:r>
          </w:p>
        </w:tc>
        <w:tc>
          <w:tcPr/>
          <w:p>
            <w:pPr>
              <w:pStyle w:val="Compact"/>
              <w:jc w:val="left"/>
            </w:pPr>
            <w:r>
              <w:t xml:space="preserve">Marketing strategy development and 12-month campaign planning (initial phase)</w:t>
            </w:r>
          </w:p>
        </w:tc>
        <w:tc>
          <w:tcPr/>
          <w:p>
            <w:pPr>
              <w:pStyle w:val="Compact"/>
              <w:jc w:val="left"/>
            </w:pPr>
            <w:r>
              <w:t xml:space="preserve">3 months</w:t>
            </w:r>
          </w:p>
        </w:tc>
        <w:tc>
          <w:tcPr/>
          <w:p>
            <w:pPr>
              <w:pStyle w:val="Compact"/>
              <w:jc w:val="left"/>
            </w:pPr>
            <w:r>
              <w:t xml:space="preserve">22,000.00</w:t>
            </w:r>
          </w:p>
        </w:tc>
      </w:tr>
      <w:tr>
        <w:tc>
          <w:tcPr/>
          <w:p>
            <w:pPr>
              <w:pStyle w:val="Compact"/>
              <w:jc w:val="left"/>
            </w:pPr>
            <w:r>
              <w:t xml:space="preserve">3.2</w:t>
            </w:r>
          </w:p>
        </w:tc>
        <w:tc>
          <w:tcPr/>
          <w:p>
            <w:pPr>
              <w:pStyle w:val="Compact"/>
              <w:jc w:val="left"/>
            </w:pPr>
            <w:r>
              <w:t xml:space="preserve">Monthly digital marketing management and reporting (ongoing)</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4.1</w:t>
            </w:r>
          </w:p>
        </w:tc>
        <w:tc>
          <w:tcPr/>
          <w:p>
            <w:pPr>
              <w:pStyle w:val="Compact"/>
              <w:jc w:val="left"/>
            </w:pPr>
            <w:r>
              <w:t xml:space="preserve">Market research and consumer insight studies specific to the Peru Lima metropolitan area</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4.2</w:t>
            </w:r>
          </w:p>
        </w:tc>
        <w:tc>
          <w:tcPr/>
          <w:p>
            <w:pPr>
              <w:pStyle w:val="Compact"/>
              <w:jc w:val="left"/>
            </w:pPr>
            <w:r>
              <w:t xml:space="preserve">Brand audit and repositioning recommendation report</w:t>
            </w:r>
          </w:p>
        </w:tc>
        <w:tc>
          <w:tcPr/>
          <w:p>
            <w:pPr>
              <w:pStyle w:val="Compact"/>
              <w:jc w:val="left"/>
            </w:pPr>
            <w:r>
              <w:t xml:space="preserve">One-time</w:t>
            </w:r>
          </w:p>
        </w:tc>
        <w:tc>
          <w:tcPr/>
          <w:p>
            <w:pPr>
              <w:pStyle w:val="Compact"/>
              <w:jc w:val="left"/>
            </w:pPr>
            <w:r>
              <w:t xml:space="preserve">6,200.00</w:t>
            </w:r>
          </w:p>
        </w:tc>
      </w:tr>
      <w:tr>
        <w:tc>
          <w:tcPr/>
          <w:p>
            <w:pPr>
              <w:pStyle w:val="Compact"/>
              <w:jc w:val="left"/>
            </w:pPr>
            <w:r>
              <w:t xml:space="preserve">5.1</w:t>
            </w:r>
          </w:p>
        </w:tc>
        <w:tc>
          <w:tcPr/>
          <w:p>
            <w:pPr>
              <w:pStyle w:val="Compact"/>
              <w:jc w:val="left"/>
            </w:pPr>
            <w:r>
              <w:t xml:space="preserve">Contingency and miscellaneous administrative costs (travel within Lima, event coordination, software licenses)</w:t>
            </w:r>
          </w:p>
        </w:tc>
        <w:tc>
          <w:tcPr/>
          <w:p>
            <w:pPr>
              <w:pStyle w:val="Compact"/>
              <w:jc w:val="left"/>
            </w:pPr>
            <w:r>
              <w:t xml:space="preserve">12 months</w:t>
            </w:r>
          </w:p>
        </w:tc>
        <w:tc>
          <w:tcPr/>
          <w:p>
            <w:pPr>
              <w:pStyle w:val="Compact"/>
              <w:jc w:val="left"/>
            </w:pPr>
            <w:r>
              <w:t xml:space="preserve">9,400.00</w:t>
            </w:r>
          </w:p>
        </w:tc>
      </w:tr>
      <w:tr>
        <w:tc>
          <w:tcPr>
            <w:gridSpan w:val="3"/>
          </w:tcPr>
          <w:p>
            <w:pPr>
              <w:pStyle w:val="Compact"/>
              <w:jc w:val="left"/>
            </w:pPr>
            <w:r>
              <w:t xml:space="preserve">Subtotal</w:t>
            </w:r>
          </w:p>
        </w:tc>
        <w:tc>
          <w:tcPr/>
          <w:p>
            <w:pPr>
              <w:pStyle w:val="Compact"/>
              <w:jc w:val="left"/>
            </w:pPr>
            <w:r>
              <w:t xml:space="preserve">265,800.00</w:t>
            </w:r>
          </w:p>
        </w:tc>
      </w:tr>
      <w:tr>
        <w:tc>
          <w:tcPr>
            <w:gridSpan w:val="3"/>
          </w:tcPr>
          <w:p>
            <w:pPr>
              <w:pStyle w:val="Compact"/>
              <w:jc w:val="left"/>
            </w:pPr>
            <w:r>
              <w:t xml:space="preserve">IGV (18% – Impuesto General a las Ventas)</w:t>
            </w:r>
          </w:p>
        </w:tc>
        <w:tc>
          <w:tcPr/>
          <w:p>
            <w:pPr>
              <w:pStyle w:val="Compact"/>
              <w:jc w:val="left"/>
            </w:pPr>
            <w:r>
              <w:t xml:space="preserve">47,844.00</w:t>
            </w:r>
          </w:p>
        </w:tc>
      </w:tr>
      <w:tr>
        <w:tc>
          <w:tcPr>
            <w:gridSpan w:val="3"/>
          </w:tcPr>
          <w:p>
            <w:pPr>
              <w:pStyle w:val="Compact"/>
              <w:jc w:val="left"/>
            </w:pPr>
            <w:r>
              <w:rPr>
                <w:bCs/>
                <w:b/>
              </w:rPr>
              <w:t xml:space="preserve">TOTAL ESTIMATED COST (PEN)</w:t>
            </w:r>
          </w:p>
        </w:tc>
        <w:tc>
          <w:tcPr/>
          <w:p>
            <w:pPr>
              <w:pStyle w:val="Compact"/>
              <w:jc w:val="left"/>
            </w:pPr>
            <w:r>
              <w:rPr>
                <w:bCs/>
                <w:b/>
              </w:rPr>
              <w:t xml:space="preserve">313,644.00</w:t>
            </w:r>
          </w:p>
        </w:tc>
      </w:tr>
    </w:tbl>
    <w:p>
      <w:pPr>
        <w:pStyle w:val="BodyText"/>
      </w:pPr>
      <w:r>
        <w:t xml:space="preserve">* All amounts are expressed in Peruvian Soles (PEN). The IGV rate of 18% is applied in accordance with the tax regulations of the Superintendencia Nacional de Aduanas y de Administración Tributaria (SUNAT) of Peru. This Quotation Estimate does not include third-party media buying budgets, which will be managed separately at the client's discretion.</w:t>
      </w:r>
    </w:p>
    <w:bookmarkEnd w:id="25"/>
    <w:bookmarkStart w:id="26"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Andes Digital Solutions S.A.C. The schedule is as follows:</w:t>
      </w:r>
    </w:p>
    <w:p>
      <w:pPr>
        <w:numPr>
          <w:ilvl w:val="0"/>
          <w:numId w:val="1002"/>
        </w:numPr>
        <w:pStyle w:val="Compact"/>
      </w:pPr>
      <w:r>
        <w:rPr>
          <w:bCs/>
          <w:b/>
        </w:rPr>
        <w:t xml:space="preserve">30% advance payment</w:t>
      </w:r>
      <w:r>
        <w:t xml:space="preserve"> </w:t>
      </w:r>
      <w:r>
        <w:t xml:space="preserve">upon formal acceptance of this Quotation Estimate and signing of the service agreement.</w:t>
      </w:r>
    </w:p>
    <w:p>
      <w:pPr>
        <w:numPr>
          <w:ilvl w:val="0"/>
          <w:numId w:val="1002"/>
        </w:numPr>
        <w:pStyle w:val="Compact"/>
      </w:pPr>
      <w:r>
        <w:rPr>
          <w:bCs/>
          <w:b/>
        </w:rPr>
        <w:t xml:space="preserve">Monthly installments</w:t>
      </w:r>
      <w:r>
        <w:t xml:space="preserve"> </w:t>
      </w:r>
      <w:r>
        <w:t xml:space="preserve">for the Marketing Manager professional fee and ongoing digital marketing management, due on the first business day of each month.</w:t>
      </w:r>
    </w:p>
    <w:p>
      <w:pPr>
        <w:numPr>
          <w:ilvl w:val="0"/>
          <w:numId w:val="1002"/>
        </w:numPr>
        <w:pStyle w:val="Compact"/>
      </w:pPr>
      <w:r>
        <w:rPr>
          <w:bCs/>
          <w:b/>
        </w:rPr>
        <w:t xml:space="preserve">One-time fees</w:t>
      </w:r>
      <w:r>
        <w:t xml:space="preserve"> </w:t>
      </w:r>
      <w:r>
        <w:t xml:space="preserve">(recruitment, onboarding, market research, brand audit) payable within fifteen (15) calendar days of service delivery and client approval of deliverables.</w:t>
      </w:r>
    </w:p>
    <w:p>
      <w:pPr>
        <w:numPr>
          <w:ilvl w:val="0"/>
          <w:numId w:val="1002"/>
        </w:numPr>
        <w:pStyle w:val="Compact"/>
      </w:pPr>
      <w:r>
        <w:rPr>
          <w:bCs/>
          <w:b/>
        </w:rPr>
        <w:t xml:space="preserve">Annual bonus pool</w:t>
      </w:r>
      <w:r>
        <w:t xml:space="preserve"> </w:t>
      </w:r>
      <w:r>
        <w:t xml:space="preserve">disbursed in December, contingent upon documented KPI achievement.</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 Peru Lima.</w:t>
      </w:r>
    </w:p>
    <w:p>
      <w:pPr>
        <w:numPr>
          <w:ilvl w:val="0"/>
          <w:numId w:val="1003"/>
        </w:numPr>
        <w:pStyle w:val="Compact"/>
      </w:pPr>
      <w:r>
        <w:t xml:space="preserve">The</w:t>
      </w:r>
      <w:r>
        <w:t xml:space="preserve"> </w:t>
      </w:r>
      <w:r>
        <w:t xml:space="preserve">Marketing Manager</w:t>
      </w:r>
      <w:r>
        <w:t xml:space="preserve"> </w:t>
      </w:r>
      <w:r>
        <w:t xml:space="preserve">shall be engaged under a fixed-term contract of twelve (12) months, renewable by mutual written agreement. The contract shall be governed by the Peruvian Labor Law (Legislative Decree No. 728) and applicable regulations in force in Peru Lima.</w:t>
      </w:r>
    </w:p>
    <w:p>
      <w:pPr>
        <w:numPr>
          <w:ilvl w:val="0"/>
          <w:numId w:val="1003"/>
        </w:numPr>
        <w:pStyle w:val="Compact"/>
      </w:pPr>
      <w:r>
        <w:t xml:space="preserve">Both parties agree to maintain strict confidentiality regarding all business information, marketing strategies, consumer data, and proprietary materials exchanged during the engagement.</w:t>
      </w:r>
    </w:p>
    <w:p>
      <w:pPr>
        <w:numPr>
          <w:ilvl w:val="0"/>
          <w:numId w:val="1003"/>
        </w:numPr>
        <w:pStyle w:val="Compact"/>
      </w:pPr>
      <w:r>
        <w:t xml:space="preserve">Either party may terminate the engagement with thirty (30) days' written notice. In the event of early termination, the client shall be liable for all services rendered up to the termination date plus applicable statutory severance obligations.</w:t>
      </w:r>
    </w:p>
    <w:p>
      <w:pPr>
        <w:numPr>
          <w:ilvl w:val="0"/>
          <w:numId w:val="1003"/>
        </w:numPr>
        <w:pStyle w:val="Compact"/>
      </w:pPr>
      <w:r>
        <w:t xml:space="preserve">All deliverables, including marketing plans, campaign materials, and research reports, shall become the exclusive property of the client upon full payment.</w:t>
      </w:r>
    </w:p>
    <w:p>
      <w:pPr>
        <w:numPr>
          <w:ilvl w:val="0"/>
          <w:numId w:val="1003"/>
        </w:numPr>
        <w:pStyle w:val="Compact"/>
      </w:pPr>
      <w:r>
        <w:t xml:space="preserve">Any disputes arising from this Quotation Estimate or the subsequent service agreement shall be resolved through amicable negotiation. Failing resolution within thirty (30) days, the matter shall be submitted to the competent commercial courts of the judicial district of Lima, Peru.</w:t>
      </w:r>
    </w:p>
    <w:p>
      <w:pPr>
        <w:numPr>
          <w:ilvl w:val="0"/>
          <w:numId w:val="1003"/>
        </w:numPr>
        <w:pStyle w:val="Compact"/>
      </w:pPr>
      <w:r>
        <w:t xml:space="preserve">This Quotation Estimate does not constitute a binding contract until both parties execute a formal Service Agreement incorporating all terms herein.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Marketing Manager</w:t>
      </w:r>
      <w:r>
        <w:t xml:space="preserve"> </w:t>
      </w:r>
      <w:r>
        <w:t xml:space="preserve">in</w:t>
      </w:r>
      <w:r>
        <w:t xml:space="preserve"> </w:t>
      </w:r>
      <w:r>
        <w:t xml:space="preserve">Peru Lima</w:t>
      </w:r>
      <w:r>
        <w:t xml:space="preserve">.</w:t>
      </w:r>
    </w:p>
    <w:p>
      <w:pPr>
        <w:pStyle w:val="BodyText"/>
      </w:pPr>
      <w:r>
        <w:rPr>
          <w:bCs/>
          <w:b/>
        </w:rPr>
        <w:t xml:space="preserve">Andes Digital Solutions S.A.C.</w:t>
      </w:r>
      <w:r>
        <w:br/>
      </w:r>
      <w:r>
        <w:t xml:space="preserve">Service Provider – Authorized Representative</w:t>
      </w:r>
      <w:r>
        <w:br/>
      </w:r>
      <w:r>
        <w:t xml:space="preserve">Name: ___________________________</w:t>
      </w:r>
      <w:r>
        <w:br/>
      </w:r>
      <w:r>
        <w:t xml:space="preserve">DNI: ___________________________</w:t>
      </w:r>
      <w:r>
        <w:br/>
      </w:r>
      <w:r>
        <w:t xml:space="preserve">Date: ___________________________</w:t>
      </w:r>
    </w:p>
    <w:p>
      <w:pPr>
        <w:pStyle w:val="BodyText"/>
      </w:pPr>
      <w:r>
        <w:rPr>
          <w:bCs/>
          <w:b/>
        </w:rPr>
        <w:t xml:space="preserve">Grupo Comercial del Pacífico S.A.C.</w:t>
      </w:r>
      <w:r>
        <w:br/>
      </w:r>
      <w:r>
        <w:t xml:space="preserve">Client – Authorized Representative</w:t>
      </w:r>
      <w:r>
        <w:br/>
      </w:r>
      <w:r>
        <w:t xml:space="preserve">Name: ___________________________</w:t>
      </w:r>
      <w:r>
        <w:br/>
      </w:r>
      <w:r>
        <w:t xml:space="preserve">DNI: ___________________________</w:t>
      </w:r>
      <w:r>
        <w:br/>
      </w:r>
      <w:r>
        <w:t xml:space="preserve">Date: ___________________________</w:t>
      </w:r>
    </w:p>
    <w:p>
      <w:pPr>
        <w:pStyle w:val="BodyText"/>
      </w:pPr>
      <w:r>
        <w:t xml:space="preserve">This Quotation Estimate was prepared in Peru Lima and is subject to Peruvian commercial and labor law. Document reference: QTE-LIM-2025-0487. For inquiries, contact proposals@andesdigital.pe or +51 1 456 7890.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Peru Lima</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