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quotation-estimate"/>
    <w:p>
      <w:pPr>
        <w:pStyle w:val="Heading1"/>
      </w:pPr>
      <w:r>
        <w:t xml:space="preserve">QUOTATION ESTIMATE</w:t>
      </w:r>
    </w:p>
    <w:p>
      <w:pPr>
        <w:pStyle w:val="FirstParagraph"/>
      </w:pPr>
      <w:r>
        <w:t xml:space="preserve">Professional Marketing Manager Services — United States Los Angeles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QTE-LA-2025-04871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By:</w:t>
            </w:r>
          </w:p>
        </w:tc>
        <w:tc>
          <w:tcPr/>
          <w:p>
            <w:pPr>
              <w:pStyle w:val="Compact"/>
              <w:jc w:val="left"/>
            </w:pPr>
            <w:r>
              <w:t xml:space="preserve">Strategic Talent Partners, LLC — 450 S. Grand Avenue, Suite 1200, Los Angeles, CA 90071, United States</w:t>
            </w:r>
          </w:p>
        </w:tc>
      </w:tr>
      <w:tr>
        <w:tc>
          <w:tcPr/>
          <w:p>
            <w:pPr>
              <w:pStyle w:val="Compact"/>
              <w:jc w:val="left"/>
            </w:pPr>
            <w:r>
              <w:t xml:space="preserve">Prepared For:</w:t>
            </w:r>
          </w:p>
        </w:tc>
        <w:tc>
          <w:tcPr/>
          <w:p>
            <w:pPr>
              <w:pStyle w:val="Compact"/>
              <w:jc w:val="left"/>
            </w:pPr>
            <w:r>
              <w:t xml:space="preserve">Client Organization (Name to be confirmed upon acceptance)</w:t>
            </w:r>
          </w:p>
        </w:tc>
      </w:tr>
      <w:tr>
        <w:tc>
          <w:tcPr/>
          <w:p>
            <w:pPr>
              <w:pStyle w:val="Compact"/>
              <w:jc w:val="left"/>
            </w:pPr>
            <w:r>
              <w:t xml:space="preserve">Service Location:</w:t>
            </w:r>
          </w:p>
        </w:tc>
        <w:tc>
          <w:tcPr/>
          <w:p>
            <w:pPr>
              <w:pStyle w:val="Compact"/>
              <w:jc w:val="left"/>
            </w:pPr>
            <w:r>
              <w:t xml:space="preserve">United States Los Angeles, California — On-site and Hybrid Engagement</w:t>
            </w:r>
          </w:p>
        </w:tc>
      </w:tr>
      <w:tr>
        <w:tc>
          <w:tcPr/>
          <w:p>
            <w:pPr>
              <w:pStyle w:val="Compact"/>
              <w:jc w:val="left"/>
            </w:pPr>
            <w:r>
              <w:t xml:space="preserve">Currency:</w:t>
            </w:r>
          </w:p>
        </w:tc>
        <w:tc>
          <w:tcPr/>
          <w:p>
            <w:pPr>
              <w:pStyle w:val="Compact"/>
              <w:jc w:val="left"/>
            </w:pPr>
            <w:r>
              <w:t xml:space="preserve">United States Dollars (USD)</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presented to outline the comprehensive professional services, compensation structure, and associated costs for the engagement of a senior</w:t>
      </w:r>
      <w:r>
        <w:t xml:space="preserve"> </w:t>
      </w:r>
      <w:r>
        <w:t xml:space="preserve">Marketing Manager</w:t>
      </w:r>
      <w:r>
        <w:t xml:space="preserve"> </w:t>
      </w:r>
      <w:r>
        <w:t xml:space="preserve">based in</w:t>
      </w:r>
      <w:r>
        <w:t xml:space="preserve"> </w:t>
      </w:r>
      <w:r>
        <w:t xml:space="preserve">United States Los Angeles</w:t>
      </w:r>
      <w:r>
        <w:t xml:space="preserve">. The purpose of this document is to provide the prospective client with a transparent, itemized breakdown of all financial commitments required to secure, onboard, and retain a qualified Marketing Manager who will lead brand strategy, digital campaigns, market research, and cross-functional growth initiatives within the Los Angeles metropolitan area. All figures presented in this Quotation Estimate reflect current market rates as of June 2025 and are subject to the terms and conditions outlined herein.</w:t>
      </w:r>
    </w:p>
    <w:bookmarkEnd w:id="21"/>
    <w:bookmarkStart w:id="22" w:name="scope-of-services-marketing-manager-role"/>
    <w:p>
      <w:pPr>
        <w:pStyle w:val="Heading2"/>
      </w:pPr>
      <w:r>
        <w:t xml:space="preserve">2. Scope of Services — Marketing Manager Role</w:t>
      </w:r>
    </w:p>
    <w:p>
      <w:pPr>
        <w:pStyle w:val="FirstParagraph"/>
      </w:pPr>
      <w:r>
        <w:t xml:space="preserve">The Marketing Manager position, as defined in this Quotation Estimate, encompasses the following core responsibilities tailored to the competitive landscape of United States Los Angeles:</w:t>
      </w:r>
    </w:p>
    <w:p>
      <w:pPr>
        <w:numPr>
          <w:ilvl w:val="0"/>
          <w:numId w:val="1001"/>
        </w:numPr>
        <w:pStyle w:val="Compact"/>
      </w:pPr>
      <w:r>
        <w:t xml:space="preserve">Development and execution of integrated marketing strategies aligned with the client's business objectives within the Los Angeles market.</w:t>
      </w:r>
    </w:p>
    <w:p>
      <w:pPr>
        <w:numPr>
          <w:ilvl w:val="0"/>
          <w:numId w:val="1001"/>
        </w:numPr>
        <w:pStyle w:val="Compact"/>
      </w:pPr>
      <w:r>
        <w:t xml:space="preserve">Management of digital marketing channels including SEO, SEM, social media, email marketing, and content strategy.</w:t>
      </w:r>
    </w:p>
    <w:p>
      <w:pPr>
        <w:numPr>
          <w:ilvl w:val="0"/>
          <w:numId w:val="1001"/>
        </w:numPr>
        <w:pStyle w:val="Compact"/>
      </w:pPr>
      <w:r>
        <w:t xml:space="preserve">Leadership of a team of up to eight (8) marketing specialists, coordinators, and creative professionals.</w:t>
      </w:r>
    </w:p>
    <w:p>
      <w:pPr>
        <w:numPr>
          <w:ilvl w:val="0"/>
          <w:numId w:val="1001"/>
        </w:numPr>
        <w:pStyle w:val="Compact"/>
      </w:pPr>
      <w:r>
        <w:t xml:space="preserve">Conducting market research, competitor analysis, and consumer behavior studies specific to the Southern California and broader United States demographic.</w:t>
      </w:r>
    </w:p>
    <w:p>
      <w:pPr>
        <w:numPr>
          <w:ilvl w:val="0"/>
          <w:numId w:val="1001"/>
        </w:numPr>
        <w:pStyle w:val="Compact"/>
      </w:pPr>
      <w:r>
        <w:t xml:space="preserve">Budget planning and allocation for annual marketing expenditures, with quarterly reporting to executive leadership.</w:t>
      </w:r>
    </w:p>
    <w:p>
      <w:pPr>
        <w:numPr>
          <w:ilvl w:val="0"/>
          <w:numId w:val="1001"/>
        </w:numPr>
        <w:pStyle w:val="Compact"/>
      </w:pPr>
      <w:r>
        <w:t xml:space="preserve">Coordination with public relations, sales, and product development teams to ensure unified brand messaging.</w:t>
      </w:r>
    </w:p>
    <w:p>
      <w:pPr>
        <w:numPr>
          <w:ilvl w:val="0"/>
          <w:numId w:val="1001"/>
        </w:numPr>
        <w:pStyle w:val="Compact"/>
      </w:pPr>
      <w:r>
        <w:t xml:space="preserve">Representation of the client organization at industry events, trade shows, and networking functions throughout the Los Angeles business community.</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(USD)</w:t>
            </w:r>
          </w:p>
        </w:tc>
      </w:tr>
      <w:tr>
        <w:tc>
          <w:tcPr/>
          <w:p>
            <w:pPr>
              <w:pStyle w:val="Compact"/>
              <w:jc w:val="left"/>
            </w:pPr>
            <w:r>
              <w:t xml:space="preserve">3.1</w:t>
            </w:r>
          </w:p>
        </w:tc>
        <w:tc>
          <w:tcPr/>
          <w:p>
            <w:pPr>
              <w:pStyle w:val="Compact"/>
              <w:jc w:val="left"/>
            </w:pPr>
            <w:r>
              <w:t xml:space="preserve">Annual Base Salary — Marketing Manager (Senior Level, 5+ years experience)</w:t>
            </w:r>
          </w:p>
        </w:tc>
        <w:tc>
          <w:tcPr/>
          <w:p>
            <w:pPr>
              <w:pStyle w:val="Compact"/>
              <w:jc w:val="left"/>
            </w:pPr>
            <w:r>
              <w:t xml:space="preserve">12 months</w:t>
            </w:r>
          </w:p>
        </w:tc>
        <w:tc>
          <w:tcPr/>
          <w:p>
            <w:pPr>
              <w:pStyle w:val="Compact"/>
              <w:jc w:val="left"/>
            </w:pPr>
            <w:r>
              <w:t xml:space="preserve">$148,000.00</w:t>
            </w:r>
          </w:p>
        </w:tc>
      </w:tr>
      <w:tr>
        <w:tc>
          <w:tcPr/>
          <w:p>
            <w:pPr>
              <w:pStyle w:val="Compact"/>
              <w:jc w:val="left"/>
            </w:pPr>
            <w:r>
              <w:t xml:space="preserve">3.2</w:t>
            </w:r>
          </w:p>
        </w:tc>
        <w:tc>
          <w:tcPr/>
          <w:p>
            <w:pPr>
              <w:pStyle w:val="Compact"/>
              <w:jc w:val="left"/>
            </w:pPr>
            <w:r>
              <w:t xml:space="preserve">Performance-Based Annual Bonus (Target 15% of base salary)</w:t>
            </w:r>
          </w:p>
        </w:tc>
        <w:tc>
          <w:tcPr/>
          <w:p>
            <w:pPr>
              <w:pStyle w:val="Compact"/>
              <w:jc w:val="left"/>
            </w:pPr>
            <w:r>
              <w:t xml:space="preserve">12 months</w:t>
            </w:r>
          </w:p>
        </w:tc>
        <w:tc>
          <w:tcPr/>
          <w:p>
            <w:pPr>
              <w:pStyle w:val="Compact"/>
              <w:jc w:val="left"/>
            </w:pPr>
            <w:r>
              <w:t xml:space="preserve">$22,200.00</w:t>
            </w:r>
          </w:p>
        </w:tc>
      </w:tr>
      <w:tr>
        <w:tc>
          <w:tcPr/>
          <w:p>
            <w:pPr>
              <w:pStyle w:val="Compact"/>
              <w:jc w:val="left"/>
            </w:pPr>
            <w:r>
              <w:t xml:space="preserve">3.3</w:t>
            </w:r>
          </w:p>
        </w:tc>
        <w:tc>
          <w:tcPr/>
          <w:p>
            <w:pPr>
              <w:pStyle w:val="Compact"/>
              <w:jc w:val="left"/>
            </w:pPr>
            <w:r>
              <w:t xml:space="preserve">Employer Payroll Taxes &amp; Statutory Contributions (FICA, FUTA, SUTA)</w:t>
            </w:r>
          </w:p>
        </w:tc>
        <w:tc>
          <w:tcPr/>
          <w:p>
            <w:pPr>
              <w:pStyle w:val="Compact"/>
              <w:jc w:val="left"/>
            </w:pPr>
            <w:r>
              <w:t xml:space="preserve">12 months</w:t>
            </w:r>
          </w:p>
        </w:tc>
        <w:tc>
          <w:tcPr/>
          <w:p>
            <w:pPr>
              <w:pStyle w:val="Compact"/>
              <w:jc w:val="left"/>
            </w:pPr>
            <w:r>
              <w:t xml:space="preserve">$14,352.00</w:t>
            </w:r>
          </w:p>
        </w:tc>
      </w:tr>
      <w:tr>
        <w:tc>
          <w:tcPr/>
          <w:p>
            <w:pPr>
              <w:pStyle w:val="Compact"/>
              <w:jc w:val="left"/>
            </w:pPr>
            <w:r>
              <w:t xml:space="preserve">3.4</w:t>
            </w:r>
          </w:p>
        </w:tc>
        <w:tc>
          <w:tcPr/>
          <w:p>
            <w:pPr>
              <w:pStyle w:val="Compact"/>
              <w:jc w:val="left"/>
            </w:pPr>
            <w:r>
              <w:t xml:space="preserve">Health, Dental &amp; Vision Insurance (Employer Premium Portion)</w:t>
            </w:r>
          </w:p>
        </w:tc>
        <w:tc>
          <w:tcPr/>
          <w:p>
            <w:pPr>
              <w:pStyle w:val="Compact"/>
              <w:jc w:val="left"/>
            </w:pPr>
            <w:r>
              <w:t xml:space="preserve">12 months</w:t>
            </w:r>
          </w:p>
        </w:tc>
        <w:tc>
          <w:tcPr/>
          <w:p>
            <w:pPr>
              <w:pStyle w:val="Compact"/>
              <w:jc w:val="left"/>
            </w:pPr>
            <w:r>
              <w:t xml:space="preserve">$11,400.00</w:t>
            </w:r>
          </w:p>
        </w:tc>
      </w:tr>
      <w:tr>
        <w:tc>
          <w:tcPr/>
          <w:p>
            <w:pPr>
              <w:pStyle w:val="Compact"/>
              <w:jc w:val="left"/>
            </w:pPr>
            <w:r>
              <w:t xml:space="preserve">3.5</w:t>
            </w:r>
          </w:p>
        </w:tc>
        <w:tc>
          <w:tcPr/>
          <w:p>
            <w:pPr>
              <w:pStyle w:val="Compact"/>
              <w:jc w:val="left"/>
            </w:pPr>
            <w:r>
              <w:t xml:space="preserve">401(k) Retirement Plan Employer Match (Up to 6% of base)</w:t>
            </w:r>
          </w:p>
        </w:tc>
        <w:tc>
          <w:tcPr/>
          <w:p>
            <w:pPr>
              <w:pStyle w:val="Compact"/>
              <w:jc w:val="left"/>
            </w:pPr>
            <w:r>
              <w:t xml:space="preserve">12 months</w:t>
            </w:r>
          </w:p>
        </w:tc>
        <w:tc>
          <w:tcPr/>
          <w:p>
            <w:pPr>
              <w:pStyle w:val="Compact"/>
              <w:jc w:val="left"/>
            </w:pPr>
            <w:r>
              <w:t xml:space="preserve">$8,880.00</w:t>
            </w:r>
          </w:p>
        </w:tc>
      </w:tr>
      <w:tr>
        <w:tc>
          <w:tcPr/>
          <w:p>
            <w:pPr>
              <w:pStyle w:val="Compact"/>
              <w:jc w:val="left"/>
            </w:pPr>
            <w:r>
              <w:t xml:space="preserve">3.6</w:t>
            </w:r>
          </w:p>
        </w:tc>
        <w:tc>
          <w:tcPr/>
          <w:p>
            <w:pPr>
              <w:pStyle w:val="Compact"/>
              <w:jc w:val="left"/>
            </w:pPr>
            <w:r>
              <w:t xml:space="preserve">Recruitment &amp; Placement Fee (18% of first-year base salary)</w:t>
            </w:r>
          </w:p>
        </w:tc>
        <w:tc>
          <w:tcPr/>
          <w:p>
            <w:pPr>
              <w:pStyle w:val="Compact"/>
              <w:jc w:val="left"/>
            </w:pPr>
            <w:r>
              <w:t xml:space="preserve">One-time</w:t>
            </w:r>
          </w:p>
        </w:tc>
        <w:tc>
          <w:tcPr/>
          <w:p>
            <w:pPr>
              <w:pStyle w:val="Compact"/>
              <w:jc w:val="left"/>
            </w:pPr>
            <w:r>
              <w:t xml:space="preserve">$26,640.00</w:t>
            </w:r>
          </w:p>
        </w:tc>
      </w:tr>
      <w:tr>
        <w:tc>
          <w:tcPr/>
          <w:p>
            <w:pPr>
              <w:pStyle w:val="Compact"/>
              <w:jc w:val="left"/>
            </w:pPr>
            <w:r>
              <w:t xml:space="preserve">3.7</w:t>
            </w:r>
          </w:p>
        </w:tc>
        <w:tc>
          <w:tcPr/>
          <w:p>
            <w:pPr>
              <w:pStyle w:val="Compact"/>
              <w:jc w:val="left"/>
            </w:pPr>
            <w:r>
              <w:t xml:space="preserve">Onboarding, Background Check &amp; Compliance Processing</w:t>
            </w:r>
          </w:p>
        </w:tc>
        <w:tc>
          <w:tcPr/>
          <w:p>
            <w:pPr>
              <w:pStyle w:val="Compact"/>
              <w:jc w:val="left"/>
            </w:pPr>
            <w:r>
              <w:t xml:space="preserve">One-time</w:t>
            </w:r>
          </w:p>
        </w:tc>
        <w:tc>
          <w:tcPr/>
          <w:p>
            <w:pPr>
              <w:pStyle w:val="Compact"/>
              <w:jc w:val="left"/>
            </w:pPr>
            <w:r>
              <w:t xml:space="preserve">$2,750.00</w:t>
            </w:r>
          </w:p>
        </w:tc>
      </w:tr>
      <w:tr>
        <w:tc>
          <w:tcPr/>
          <w:p>
            <w:pPr>
              <w:pStyle w:val="Compact"/>
              <w:jc w:val="left"/>
            </w:pPr>
            <w:r>
              <w:t xml:space="preserve">3.8</w:t>
            </w:r>
          </w:p>
        </w:tc>
        <w:tc>
          <w:tcPr/>
          <w:p>
            <w:pPr>
              <w:pStyle w:val="Compact"/>
              <w:jc w:val="left"/>
            </w:pPr>
            <w:r>
              <w:t xml:space="preserve">Professional Development &amp; Industry Conference Budget (Los Angeles Marketing Summit, etc.)</w:t>
            </w:r>
          </w:p>
        </w:tc>
        <w:tc>
          <w:tcPr/>
          <w:p>
            <w:pPr>
              <w:pStyle w:val="Compact"/>
              <w:jc w:val="left"/>
            </w:pPr>
            <w:r>
              <w:t xml:space="preserve">12 months</w:t>
            </w:r>
          </w:p>
        </w:tc>
        <w:tc>
          <w:tcPr/>
          <w:p>
            <w:pPr>
              <w:pStyle w:val="Compact"/>
              <w:jc w:val="left"/>
            </w:pPr>
            <w:r>
              <w:t xml:space="preserve">$4,500.00</w:t>
            </w:r>
          </w:p>
        </w:tc>
      </w:tr>
      <w:tr>
        <w:tc>
          <w:tcPr/>
          <w:p>
            <w:pPr>
              <w:pStyle w:val="Compact"/>
              <w:jc w:val="left"/>
            </w:pPr>
            <w:r>
              <w:t xml:space="preserve">3.9</w:t>
            </w:r>
          </w:p>
        </w:tc>
        <w:tc>
          <w:tcPr/>
          <w:p>
            <w:pPr>
              <w:pStyle w:val="Compact"/>
              <w:jc w:val="left"/>
            </w:pPr>
            <w:r>
              <w:t xml:space="preserve">Workspace, Equipment &amp; Software Licensing (MacBook Pro, CRM, Analytics Suite)</w:t>
            </w:r>
          </w:p>
        </w:tc>
        <w:tc>
          <w:tcPr/>
          <w:p>
            <w:pPr>
              <w:pStyle w:val="Compact"/>
              <w:jc w:val="left"/>
            </w:pPr>
            <w:r>
              <w:t xml:space="preserve">12 months</w:t>
            </w:r>
          </w:p>
        </w:tc>
        <w:tc>
          <w:tcPr/>
          <w:p>
            <w:pPr>
              <w:pStyle w:val="Compact"/>
              <w:jc w:val="left"/>
            </w:pPr>
            <w:r>
              <w:t xml:space="preserve">$6,200.00</w:t>
            </w:r>
          </w:p>
        </w:tc>
      </w:tr>
      <w:tr>
        <w:tc>
          <w:tcPr/>
          <w:p>
            <w:pPr>
              <w:pStyle w:val="Compact"/>
              <w:jc w:val="left"/>
            </w:pPr>
            <w:r>
              <w:t xml:space="preserve">3.10</w:t>
            </w:r>
          </w:p>
        </w:tc>
        <w:tc>
          <w:tcPr/>
          <w:p>
            <w:pPr>
              <w:pStyle w:val="Compact"/>
              <w:jc w:val="left"/>
            </w:pPr>
            <w:r>
              <w:t xml:space="preserve">Annual Marketing Department Operational Budget (Media, Tools, Agency Retainers)</w:t>
            </w:r>
          </w:p>
        </w:tc>
        <w:tc>
          <w:tcPr/>
          <w:p>
            <w:pPr>
              <w:pStyle w:val="Compact"/>
              <w:jc w:val="left"/>
            </w:pPr>
            <w:r>
              <w:t xml:space="preserve">12 months</w:t>
            </w:r>
          </w:p>
        </w:tc>
        <w:tc>
          <w:tcPr/>
          <w:p>
            <w:pPr>
              <w:pStyle w:val="Compact"/>
              <w:jc w:val="left"/>
            </w:pPr>
            <w:r>
              <w:t xml:space="preserve">$85,000.00</w:t>
            </w:r>
          </w:p>
        </w:tc>
      </w:tr>
      <w:tr>
        <w:tc>
          <w:tcPr>
            <w:gridSpan w:val="3"/>
          </w:tcPr>
          <w:p>
            <w:pPr>
              <w:pStyle w:val="Compact"/>
              <w:jc w:val="left"/>
            </w:pPr>
            <w:r>
              <w:t xml:space="preserve">TOTAL ESTIMATED ANNUAL COST</w:t>
            </w:r>
          </w:p>
        </w:tc>
        <w:tc>
          <w:tcPr/>
          <w:p>
            <w:pPr>
              <w:pStyle w:val="Compact"/>
              <w:jc w:val="left"/>
            </w:pPr>
            <w:r>
              <w:t xml:space="preserve">$329,922.00</w:t>
            </w:r>
          </w:p>
        </w:tc>
      </w:tr>
    </w:tbl>
    <w:bookmarkEnd w:id="23"/>
    <w:bookmarkStart w:id="24" w:name="payment-schedule"/>
    <w:p>
      <w:pPr>
        <w:pStyle w:val="Heading2"/>
      </w:pPr>
      <w:r>
        <w:t xml:space="preserve">4. Payment Schedule</w:t>
      </w:r>
    </w:p>
    <w:p>
      <w:pPr>
        <w:pStyle w:val="FirstParagraph"/>
      </w:pPr>
      <w:r>
        <w:t xml:space="preserve">In accordance with this Quotation Estimate, the client agrees to the following payment structure for the Marketing Manager engagement in United States Los Angeles:</w:t>
      </w:r>
    </w:p>
    <w:p>
      <w:pPr>
        <w:numPr>
          <w:ilvl w:val="0"/>
          <w:numId w:val="1002"/>
        </w:numPr>
        <w:pStyle w:val="Compact"/>
      </w:pPr>
      <w:r>
        <w:rPr>
          <w:bCs/>
          <w:b/>
        </w:rPr>
        <w:t xml:space="preserve">Recruitment &amp; Placement Fee (Item 3.6):</w:t>
      </w:r>
      <w:r>
        <w:t xml:space="preserve"> </w:t>
      </w:r>
      <w:r>
        <w:t xml:space="preserve">Due within fifteen (15) business days of written acceptance of this Quotation Estimate.</w:t>
      </w:r>
    </w:p>
    <w:p>
      <w:pPr>
        <w:numPr>
          <w:ilvl w:val="0"/>
          <w:numId w:val="1002"/>
        </w:numPr>
        <w:pStyle w:val="Compact"/>
      </w:pPr>
      <w:r>
        <w:rPr>
          <w:bCs/>
          <w:b/>
        </w:rPr>
        <w:t xml:space="preserve">Onboarding &amp; Compliance (Item 3.7):</w:t>
      </w:r>
      <w:r>
        <w:t xml:space="preserve"> </w:t>
      </w:r>
      <w:r>
        <w:t xml:space="preserve">Due upon successful completion of the candidate's background check and prior to the first day of employment.</w:t>
      </w:r>
    </w:p>
    <w:p>
      <w:pPr>
        <w:numPr>
          <w:ilvl w:val="0"/>
          <w:numId w:val="1002"/>
        </w:numPr>
        <w:pStyle w:val="Compact"/>
      </w:pPr>
      <w:r>
        <w:rPr>
          <w:bCs/>
          <w:b/>
        </w:rPr>
        <w:t xml:space="preserve">Base Salary &amp; Statutory Contributions (Items 3.1 &amp; 3.3):</w:t>
      </w:r>
      <w:r>
        <w:t xml:space="preserve"> </w:t>
      </w:r>
      <w:r>
        <w:t xml:space="preserve">Disbursed bi-weekly in accordance with California state payroll regulations and the client's standard payroll cycle.</w:t>
      </w:r>
    </w:p>
    <w:p>
      <w:pPr>
        <w:numPr>
          <w:ilvl w:val="0"/>
          <w:numId w:val="1002"/>
        </w:numPr>
        <w:pStyle w:val="Compact"/>
      </w:pPr>
      <w:r>
        <w:rPr>
          <w:bCs/>
          <w:b/>
        </w:rPr>
        <w:t xml:space="preserve">Benefits &amp; Retirement (Items 3.4 &amp; 3.5):</w:t>
      </w:r>
      <w:r>
        <w:t xml:space="preserve"> </w:t>
      </w:r>
      <w:r>
        <w:t xml:space="preserve">Processed monthly through the client's designated benefits administrator.</w:t>
      </w:r>
    </w:p>
    <w:p>
      <w:pPr>
        <w:numPr>
          <w:ilvl w:val="0"/>
          <w:numId w:val="1002"/>
        </w:numPr>
        <w:pStyle w:val="Compact"/>
      </w:pPr>
      <w:r>
        <w:rPr>
          <w:bCs/>
          <w:b/>
        </w:rPr>
        <w:t xml:space="preserve">Performance Bonus (Item 3.2):</w:t>
      </w:r>
      <w:r>
        <w:t xml:space="preserve"> </w:t>
      </w:r>
      <w:r>
        <w:t xml:space="preserve">Evaluated quarterly and disbursed annually in January following the fiscal year-end.</w:t>
      </w:r>
    </w:p>
    <w:p>
      <w:pPr>
        <w:numPr>
          <w:ilvl w:val="0"/>
          <w:numId w:val="1002"/>
        </w:numPr>
        <w:pStyle w:val="Compact"/>
      </w:pPr>
      <w:r>
        <w:rPr>
          <w:bCs/>
          <w:b/>
        </w:rPr>
        <w:t xml:space="preserve">Operational Budget (Item 3.10):</w:t>
      </w:r>
      <w:r>
        <w:t xml:space="preserve"> </w:t>
      </w:r>
      <w:r>
        <w:t xml:space="preserve">Released in quarterly installments of $21,250.00, subject to prior approval of the quarterly marketing plan by the client's CFO.</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Beyond this period, all rates and figures are subject to revision based on prevailing market conditions in United States Los Angeles.</w:t>
      </w:r>
    </w:p>
    <w:p>
      <w:pPr>
        <w:numPr>
          <w:ilvl w:val="0"/>
          <w:numId w:val="1003"/>
        </w:numPr>
        <w:pStyle w:val="Compact"/>
      </w:pPr>
      <w:r>
        <w:t xml:space="preserve">The Marketing Manager engagement is structured as a full-time, at-will employment relationship governed by the laws of the State of California and applicable United States federal employment statutes.</w:t>
      </w:r>
    </w:p>
    <w:p>
      <w:pPr>
        <w:numPr>
          <w:ilvl w:val="0"/>
          <w:numId w:val="1003"/>
        </w:numPr>
        <w:pStyle w:val="Compact"/>
      </w:pPr>
      <w:r>
        <w:t xml:space="preserve">A minimum engagement period of twelve (12) months is required. Early termination by the client prior to the completion of the initial term shall result in a pro-rated repayment of the Recruitment &amp; Placement Fee (Item 3.6).</w:t>
      </w:r>
    </w:p>
    <w:p>
      <w:pPr>
        <w:numPr>
          <w:ilvl w:val="0"/>
          <w:numId w:val="1003"/>
        </w:numPr>
        <w:pStyle w:val="Compact"/>
      </w:pPr>
      <w:r>
        <w:t xml:space="preserve">All intellectual property, marketing materials, strategies, and client data developed by the Marketing Manager during the course of employment shall remain the sole property of the client organization.</w:t>
      </w:r>
    </w:p>
    <w:p>
      <w:pPr>
        <w:numPr>
          <w:ilvl w:val="0"/>
          <w:numId w:val="1003"/>
        </w:numPr>
        <w:pStyle w:val="Compact"/>
      </w:pPr>
      <w:r>
        <w:t xml:space="preserve">The Marketing Manager is required to maintain a non-compete and non-solicitation agreement for a period of twelve (12) months following the termination of employment, consistent with California Labor Code Section 16600 and its applicable exceptions.</w:t>
      </w:r>
    </w:p>
    <w:p>
      <w:pPr>
        <w:numPr>
          <w:ilvl w:val="0"/>
          <w:numId w:val="1003"/>
        </w:numPr>
        <w:pStyle w:val="Compact"/>
      </w:pPr>
      <w:r>
        <w:t xml:space="preserve">This Quotation Estimate does not constitute a binding employment contract. A formal offer letter and employment agreement will be executed upon mutual acceptance of the terms herein.</w:t>
      </w:r>
    </w:p>
    <w:p>
      <w:pPr>
        <w:numPr>
          <w:ilvl w:val="0"/>
          <w:numId w:val="1003"/>
        </w:numPr>
        <w:pStyle w:val="Compact"/>
      </w:pPr>
      <w:r>
        <w:t xml:space="preserve">All amounts stated in this Quotation Estimate are exclusive of applicable sales tax, unless otherwise noted. California state and Los Angeles municipal tax obligations shall be the responsibility of the client as required by law.</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for the</w:t>
      </w:r>
      <w:r>
        <w:t xml:space="preserve"> </w:t>
      </w:r>
      <w:r>
        <w:t xml:space="preserve">Marketing Manager</w:t>
      </w:r>
      <w:r>
        <w:t xml:space="preserve"> </w:t>
      </w:r>
      <w:r>
        <w:t xml:space="preserve">position in</w:t>
      </w:r>
      <w:r>
        <w:t xml:space="preserve"> </w:t>
      </w:r>
      <w:r>
        <w:t xml:space="preserve">United States Los Angeles</w:t>
      </w:r>
      <w:r>
        <w:t xml:space="preserve"> </w:t>
      </w:r>
      <w:r>
        <w:t xml:space="preserve">and agrees to the terms, conditions, and financial obligations outlined in this document. This acceptance authorizes Strategic Talent Partners, LLC to proceed with the recruitment, screening, and placement process as described herein.</w:t>
      </w:r>
    </w:p>
    <w:p>
      <w:pPr>
        <w:pStyle w:val="BodyText"/>
      </w:pPr>
      <w:r>
        <w:t xml:space="preserve">Client Authorized Representative — Signature &amp; Date</w:t>
      </w:r>
    </w:p>
    <w:p>
      <w:pPr>
        <w:pStyle w:val="BodyText"/>
      </w:pPr>
      <w:r>
        <w:t xml:space="preserve">Strategic Talent Partners, LLC — Signature &amp; Date</w:t>
      </w:r>
    </w:p>
    <w:p>
      <w:pPr>
        <w:pStyle w:val="BodyText"/>
      </w:pPr>
      <w:r>
        <w:t xml:space="preserve">Quotation Estimate No. QTE-LA-2025-04871 — Strategic Talent Partners, LLC — 450 S. Grand Avenue, Suite 1200, Los Angeles, CA 90071, United States</w:t>
      </w:r>
      <w:r>
        <w:br/>
      </w:r>
      <w:r>
        <w:t xml:space="preserve">This document is confidential and intended solely for the named recipient. Unauthorized distribution or reproduction is prohibited. © 2025 Strategic Talent Partners, LLC.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United States Los Angeles</dc:title>
  <dc:creator/>
  <dc:language>en</dc:language>
  <cp:keywords/>
  <dcterms:created xsi:type="dcterms:W3CDTF">2026-10-10T13:53:23Z</dcterms:created>
  <dcterms:modified xsi:type="dcterms:W3CDTF">2026-10-10T13:53:23Z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