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Mason</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patagonia-mason-construction-s.r.l."/>
    <w:p>
      <w:pPr>
        <w:pStyle w:val="Heading1"/>
      </w:pPr>
      <w:r>
        <w:t xml:space="preserve">Patagonia Mason &amp; Construction S.R.L.</w:t>
      </w:r>
    </w:p>
    <w:p>
      <w:pPr>
        <w:pStyle w:val="FirstParagraph"/>
      </w:pPr>
      <w:r>
        <w:t xml:space="preserve">Av. Corrientes 2450, Piso 12, C1043AAB, Buenos Aires, Argentina</w:t>
      </w:r>
    </w:p>
    <w:p>
      <w:pPr>
        <w:pStyle w:val="BodyText"/>
      </w:pPr>
      <w:r>
        <w:t xml:space="preserve">Tel: +54 11 4321-5678 | Email: info@patagoniamason.com.ar</w:t>
      </w:r>
    </w:p>
    <w:p>
      <w:pPr>
        <w:pStyle w:val="BodyText"/>
      </w:pPr>
      <w:r>
        <w:t xml:space="preserve">CUIT: 30-71234567-8 | Inscripto AFIP</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QME-2025-0847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 (30 calendar days)</w:t>
      </w:r>
    </w:p>
    <w:p>
      <w:pPr>
        <w:pStyle w:val="BodyText"/>
      </w:pPr>
      <w:r>
        <w:rPr>
          <w:bCs/>
          <w:b/>
        </w:rPr>
        <w:t xml:space="preserve">Project Location:</w:t>
      </w:r>
      <w:r>
        <w:t xml:space="preserve"> </w:t>
      </w:r>
      <w:r>
        <w:t xml:space="preserve">Palermo, Argentina Buenos Aires</w:t>
      </w:r>
    </w:p>
    <w:p>
      <w:pPr>
        <w:pStyle w:val="BodyText"/>
      </w:pPr>
      <w:r>
        <w:rPr>
          <w:bCs/>
          <w:b/>
        </w:rPr>
        <w:t xml:space="preserve">Currency:</w:t>
      </w:r>
      <w:r>
        <w:t xml:space="preserve"> </w:t>
      </w:r>
      <w:r>
        <w:t xml:space="preserve">Argentine Peso (ARS)</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Sr. Alejandro Fernández</w:t>
      </w:r>
    </w:p>
    <w:p>
      <w:pPr>
        <w:pStyle w:val="BodyText"/>
      </w:pPr>
      <w:r>
        <w:rPr>
          <w:bCs/>
          <w:b/>
        </w:rPr>
        <w:t xml:space="preserve">Company:</w:t>
      </w:r>
      <w:r>
        <w:t xml:space="preserve"> </w:t>
      </w:r>
      <w:r>
        <w:t xml:space="preserve">Fernández Propiedades S.A.</w:t>
      </w:r>
    </w:p>
    <w:p>
      <w:pPr>
        <w:pStyle w:val="BodyText"/>
      </w:pPr>
      <w:r>
        <w:rPr>
          <w:bCs/>
          <w:b/>
        </w:rPr>
        <w:t xml:space="preserve">Address:</w:t>
      </w:r>
      <w:r>
        <w:t xml:space="preserve"> </w:t>
      </w:r>
      <w:r>
        <w:t xml:space="preserve">Av. Santa Fe 3120, Palermo, Buenos Aires, Argentina</w:t>
      </w:r>
    </w:p>
    <w:p>
      <w:pPr>
        <w:pStyle w:val="BodyText"/>
      </w:pPr>
      <w:r>
        <w:rPr>
          <w:bCs/>
          <w:b/>
        </w:rPr>
        <w:t xml:space="preserve">CUIT:</w:t>
      </w:r>
      <w:r>
        <w:t xml:space="preserve"> </w:t>
      </w:r>
      <w:r>
        <w:t xml:space="preserve">30-69874521-3</w:t>
      </w:r>
    </w:p>
    <w:p>
      <w:pPr>
        <w:pStyle w:val="BodyText"/>
      </w:pPr>
      <w:r>
        <w:rPr>
          <w:bCs/>
          <w:b/>
        </w:rPr>
        <w:t xml:space="preserve">Contact:</w:t>
      </w:r>
      <w:r>
        <w:t xml:space="preserve"> </w:t>
      </w:r>
      <w:r>
        <w:t xml:space="preserve">+54 11 5555-8899</w:t>
      </w:r>
    </w:p>
    <w:bookmarkEnd w:id="22"/>
    <w:bookmarkStart w:id="23" w:name="X6be6b27050b50d4c0e6bee442a8726be9dd3f6d"/>
    <w:p>
      <w:pPr>
        <w:pStyle w:val="Heading2"/>
      </w:pPr>
      <w:r>
        <w:t xml:space="preserve">1. Scope of Work – Mason Services in Argentina Buenos Aires</w:t>
      </w:r>
    </w:p>
    <w:p>
      <w:pPr>
        <w:pStyle w:val="FirstParagraph"/>
      </w:pPr>
      <w:r>
        <w:t xml:space="preserve">This</w:t>
      </w:r>
      <w:r>
        <w:t xml:space="preserve"> </w:t>
      </w:r>
      <w:r>
        <w:t xml:space="preserve">Quotation Estimate</w:t>
      </w:r>
      <w:r>
        <w:t xml:space="preserve"> </w:t>
      </w:r>
      <w:r>
        <w:t xml:space="preserve">is issued by Patagonia Mason &amp; Construction S.R.L. to provide a comprehensive and detailed cost breakdown for professional</w:t>
      </w:r>
      <w:r>
        <w:t xml:space="preserve"> </w:t>
      </w:r>
      <w:r>
        <w:t xml:space="preserve">Mason</w:t>
      </w:r>
      <w:r>
        <w:t xml:space="preserve"> </w:t>
      </w:r>
      <w:r>
        <w:t xml:space="preserve">services to be executed at the residential property located in the Palermo neighborhood of</w:t>
      </w:r>
      <w:r>
        <w:t xml:space="preserve"> </w:t>
      </w:r>
      <w:r>
        <w:t xml:space="preserve">Argentina Buenos Aires</w:t>
      </w:r>
      <w:r>
        <w:t xml:space="preserve">. The scope encompasses all masonry-related construction, renovation, and finishing works as specified in the attached architectural plans (Ref. Planos PA-2025-112). Our team of certified</w:t>
      </w:r>
      <w:r>
        <w:t xml:space="preserve"> </w:t>
      </w:r>
      <w:r>
        <w:t xml:space="preserve">Mason</w:t>
      </w:r>
      <w:r>
        <w:t xml:space="preserve"> </w:t>
      </w:r>
      <w:r>
        <w:t xml:space="preserve">professionals will adhere to all applicable Argentine national building codes (IRAM standards) and the municipal regulations of the City of Buenos Aires (CABA) for structural masonry work.</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Mason Work</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01</w:t>
            </w:r>
          </w:p>
        </w:tc>
        <w:tc>
          <w:tcPr/>
          <w:p>
            <w:pPr>
              <w:pStyle w:val="Compact"/>
              <w:jc w:val="left"/>
            </w:pPr>
            <w:r>
              <w:t xml:space="preserve">Construction of load-bearing masonry walls (brick 10x20x40 cm, cement mortar 1:5) – Living room and kitchen extension, 2.8 m height</w:t>
            </w:r>
          </w:p>
        </w:tc>
        <w:tc>
          <w:tcPr/>
          <w:p>
            <w:pPr>
              <w:pStyle w:val="Compact"/>
              <w:jc w:val="left"/>
            </w:pPr>
            <w:r>
              <w:t xml:space="preserve">m²</w:t>
            </w:r>
          </w:p>
        </w:tc>
        <w:tc>
          <w:tcPr/>
          <w:p>
            <w:pPr>
              <w:pStyle w:val="Compact"/>
              <w:jc w:val="left"/>
            </w:pPr>
            <w:r>
              <w:t xml:space="preserve">48.5</w:t>
            </w:r>
          </w:p>
        </w:tc>
        <w:tc>
          <w:tcPr/>
          <w:p>
            <w:pPr>
              <w:pStyle w:val="Compact"/>
              <w:jc w:val="left"/>
            </w:pPr>
            <w:r>
              <w:t xml:space="preserve">38,500</w:t>
            </w:r>
          </w:p>
        </w:tc>
        <w:tc>
          <w:tcPr/>
          <w:p>
            <w:pPr>
              <w:pStyle w:val="Compact"/>
              <w:jc w:val="left"/>
            </w:pPr>
            <w:r>
              <w:t xml:space="preserve">1,867,250</w:t>
            </w:r>
          </w:p>
        </w:tc>
      </w:tr>
      <w:tr>
        <w:tc>
          <w:tcPr/>
          <w:p>
            <w:pPr>
              <w:pStyle w:val="Compact"/>
              <w:jc w:val="left"/>
            </w:pPr>
            <w:r>
              <w:t xml:space="preserve">02</w:t>
            </w:r>
          </w:p>
        </w:tc>
        <w:tc>
          <w:tcPr/>
          <w:p>
            <w:pPr>
              <w:pStyle w:val="Compact"/>
              <w:jc w:val="left"/>
            </w:pPr>
            <w:r>
              <w:t xml:space="preserve">Non-load-bearing partition walls (hollow block 15x20x40 cm) – Two new bedrooms and bathroom enclosure</w:t>
            </w:r>
          </w:p>
        </w:tc>
        <w:tc>
          <w:tcPr/>
          <w:p>
            <w:pPr>
              <w:pStyle w:val="Compact"/>
              <w:jc w:val="left"/>
            </w:pPr>
            <w:r>
              <w:t xml:space="preserve">m²</w:t>
            </w:r>
          </w:p>
        </w:tc>
        <w:tc>
          <w:tcPr/>
          <w:p>
            <w:pPr>
              <w:pStyle w:val="Compact"/>
              <w:jc w:val="left"/>
            </w:pPr>
            <w:r>
              <w:t xml:space="preserve">62.0</w:t>
            </w:r>
          </w:p>
        </w:tc>
        <w:tc>
          <w:tcPr/>
          <w:p>
            <w:pPr>
              <w:pStyle w:val="Compact"/>
              <w:jc w:val="left"/>
            </w:pPr>
            <w:r>
              <w:t xml:space="preserve">24,800</w:t>
            </w:r>
          </w:p>
        </w:tc>
        <w:tc>
          <w:tcPr/>
          <w:p>
            <w:pPr>
              <w:pStyle w:val="Compact"/>
              <w:jc w:val="left"/>
            </w:pPr>
            <w:r>
              <w:t xml:space="preserve">1,537,600</w:t>
            </w:r>
          </w:p>
        </w:tc>
      </w:tr>
      <w:tr>
        <w:tc>
          <w:tcPr/>
          <w:p>
            <w:pPr>
              <w:pStyle w:val="Compact"/>
              <w:jc w:val="left"/>
            </w:pPr>
            <w:r>
              <w:t xml:space="preserve">03</w:t>
            </w:r>
          </w:p>
        </w:tc>
        <w:tc>
          <w:tcPr/>
          <w:p>
            <w:pPr>
              <w:pStyle w:val="Compact"/>
              <w:jc w:val="left"/>
            </w:pPr>
            <w:r>
              <w:t xml:space="preserve">Reinforced concrete lintels and ring beams (Hormigón H-2000, steel reinforcement Ø10 mm) – 6 openings</w:t>
            </w:r>
          </w:p>
        </w:tc>
        <w:tc>
          <w:tcPr/>
          <w:p>
            <w:pPr>
              <w:pStyle w:val="Compact"/>
              <w:jc w:val="left"/>
            </w:pPr>
            <w:r>
              <w:t xml:space="preserve">ea</w:t>
            </w:r>
          </w:p>
        </w:tc>
        <w:tc>
          <w:tcPr/>
          <w:p>
            <w:pPr>
              <w:pStyle w:val="Compact"/>
              <w:jc w:val="left"/>
            </w:pPr>
            <w:r>
              <w:t xml:space="preserve">6</w:t>
            </w:r>
          </w:p>
        </w:tc>
        <w:tc>
          <w:tcPr/>
          <w:p>
            <w:pPr>
              <w:pStyle w:val="Compact"/>
              <w:jc w:val="left"/>
            </w:pPr>
            <w:r>
              <w:t xml:space="preserve">85,000</w:t>
            </w:r>
          </w:p>
        </w:tc>
        <w:tc>
          <w:tcPr/>
          <w:p>
            <w:pPr>
              <w:pStyle w:val="Compact"/>
              <w:jc w:val="left"/>
            </w:pPr>
            <w:r>
              <w:t xml:space="preserve">510,000</w:t>
            </w:r>
          </w:p>
        </w:tc>
      </w:tr>
      <w:tr>
        <w:tc>
          <w:tcPr/>
          <w:p>
            <w:pPr>
              <w:pStyle w:val="Compact"/>
              <w:jc w:val="left"/>
            </w:pPr>
            <w:r>
              <w:t xml:space="preserve">04</w:t>
            </w:r>
          </w:p>
        </w:tc>
        <w:tc>
          <w:tcPr/>
          <w:p>
            <w:pPr>
              <w:pStyle w:val="Compact"/>
              <w:jc w:val="left"/>
            </w:pPr>
            <w:r>
              <w:t xml:space="preserve">Interior masonry plastering (two coats, 15 mm thickness, cement-lime mortar) – All new walls</w:t>
            </w:r>
          </w:p>
        </w:tc>
        <w:tc>
          <w:tcPr/>
          <w:p>
            <w:pPr>
              <w:pStyle w:val="Compact"/>
              <w:jc w:val="left"/>
            </w:pPr>
            <w:r>
              <w:t xml:space="preserve">m²</w:t>
            </w:r>
          </w:p>
        </w:tc>
        <w:tc>
          <w:tcPr/>
          <w:p>
            <w:pPr>
              <w:pStyle w:val="Compact"/>
              <w:jc w:val="left"/>
            </w:pPr>
            <w:r>
              <w:t xml:space="preserve">110.5</w:t>
            </w:r>
          </w:p>
        </w:tc>
        <w:tc>
          <w:tcPr/>
          <w:p>
            <w:pPr>
              <w:pStyle w:val="Compact"/>
              <w:jc w:val="left"/>
            </w:pPr>
            <w:r>
              <w:t xml:space="preserve">12,200</w:t>
            </w:r>
          </w:p>
        </w:tc>
        <w:tc>
          <w:tcPr/>
          <w:p>
            <w:pPr>
              <w:pStyle w:val="Compact"/>
              <w:jc w:val="left"/>
            </w:pPr>
            <w:r>
              <w:t xml:space="preserve">1,348,100</w:t>
            </w:r>
          </w:p>
        </w:tc>
      </w:tr>
      <w:tr>
        <w:tc>
          <w:tcPr/>
          <w:p>
            <w:pPr>
              <w:pStyle w:val="Compact"/>
              <w:jc w:val="left"/>
            </w:pPr>
            <w:r>
              <w:t xml:space="preserve">05</w:t>
            </w:r>
          </w:p>
        </w:tc>
        <w:tc>
          <w:tcPr/>
          <w:p>
            <w:pPr>
              <w:pStyle w:val="Compact"/>
              <w:jc w:val="left"/>
            </w:pPr>
            <w:r>
              <w:t xml:space="preserve">Exterior masonry finishing with hydraulic plaster and textural paint – Facade section 18 m²</w:t>
            </w:r>
          </w:p>
        </w:tc>
        <w:tc>
          <w:tcPr/>
          <w:p>
            <w:pPr>
              <w:pStyle w:val="Compact"/>
              <w:jc w:val="left"/>
            </w:pPr>
            <w:r>
              <w:t xml:space="preserve">m²</w:t>
            </w:r>
          </w:p>
        </w:tc>
        <w:tc>
          <w:tcPr/>
          <w:p>
            <w:pPr>
              <w:pStyle w:val="Compact"/>
              <w:jc w:val="left"/>
            </w:pPr>
            <w:r>
              <w:t xml:space="preserve">18.0</w:t>
            </w:r>
          </w:p>
        </w:tc>
        <w:tc>
          <w:tcPr/>
          <w:p>
            <w:pPr>
              <w:pStyle w:val="Compact"/>
              <w:jc w:val="left"/>
            </w:pPr>
            <w:r>
              <w:t xml:space="preserve">28,400</w:t>
            </w:r>
          </w:p>
        </w:tc>
        <w:tc>
          <w:tcPr/>
          <w:p>
            <w:pPr>
              <w:pStyle w:val="Compact"/>
              <w:jc w:val="left"/>
            </w:pPr>
            <w:r>
              <w:t xml:space="preserve">511,200</w:t>
            </w:r>
          </w:p>
        </w:tc>
      </w:tr>
      <w:tr>
        <w:tc>
          <w:tcPr/>
          <w:p>
            <w:pPr>
              <w:pStyle w:val="Compact"/>
              <w:jc w:val="left"/>
            </w:pPr>
            <w:r>
              <w:t xml:space="preserve">06</w:t>
            </w:r>
          </w:p>
        </w:tc>
        <w:tc>
          <w:tcPr/>
          <w:p>
            <w:pPr>
              <w:pStyle w:val="Compact"/>
              <w:jc w:val="left"/>
            </w:pPr>
            <w:r>
              <w:t xml:space="preserve">Demolition of existing masonry wall (12 m²) and debris removal to municipal disposal site, Buenos Aires</w:t>
            </w:r>
          </w:p>
        </w:tc>
        <w:tc>
          <w:tcPr/>
          <w:p>
            <w:pPr>
              <w:pStyle w:val="Compact"/>
              <w:jc w:val="left"/>
            </w:pPr>
            <w:r>
              <w:t xml:space="preserve">m²</w:t>
            </w:r>
          </w:p>
        </w:tc>
        <w:tc>
          <w:tcPr/>
          <w:p>
            <w:pPr>
              <w:pStyle w:val="Compact"/>
              <w:jc w:val="left"/>
            </w:pPr>
            <w:r>
              <w:t xml:space="preserve">12.0</w:t>
            </w:r>
          </w:p>
        </w:tc>
        <w:tc>
          <w:tcPr/>
          <w:p>
            <w:pPr>
              <w:pStyle w:val="Compact"/>
              <w:jc w:val="left"/>
            </w:pPr>
            <w:r>
              <w:t xml:space="preserve">9,800</w:t>
            </w:r>
          </w:p>
        </w:tc>
        <w:tc>
          <w:tcPr/>
          <w:p>
            <w:pPr>
              <w:pStyle w:val="Compact"/>
              <w:jc w:val="left"/>
            </w:pPr>
            <w:r>
              <w:t xml:space="preserve">117,600</w:t>
            </w:r>
          </w:p>
        </w:tc>
      </w:tr>
      <w:tr>
        <w:tc>
          <w:tcPr/>
          <w:p>
            <w:pPr>
              <w:pStyle w:val="Compact"/>
              <w:jc w:val="left"/>
            </w:pPr>
            <w:r>
              <w:t xml:space="preserve">07</w:t>
            </w:r>
          </w:p>
        </w:tc>
        <w:tc>
          <w:tcPr/>
          <w:p>
            <w:pPr>
              <w:pStyle w:val="Compact"/>
              <w:jc w:val="left"/>
            </w:pPr>
            <w:r>
              <w:t xml:space="preserve">Installation of masonry floor screed (10 cm, cement-sand 1:3) – Kitchen and bathroom areas</w:t>
            </w:r>
          </w:p>
        </w:tc>
        <w:tc>
          <w:tcPr/>
          <w:p>
            <w:pPr>
              <w:pStyle w:val="Compact"/>
              <w:jc w:val="left"/>
            </w:pPr>
            <w:r>
              <w:t xml:space="preserve">m²</w:t>
            </w:r>
          </w:p>
        </w:tc>
        <w:tc>
          <w:tcPr/>
          <w:p>
            <w:pPr>
              <w:pStyle w:val="Compact"/>
              <w:jc w:val="left"/>
            </w:pPr>
            <w:r>
              <w:t xml:space="preserve">28.0</w:t>
            </w:r>
          </w:p>
        </w:tc>
        <w:tc>
          <w:tcPr/>
          <w:p>
            <w:pPr>
              <w:pStyle w:val="Compact"/>
              <w:jc w:val="left"/>
            </w:pPr>
            <w:r>
              <w:t xml:space="preserve">14,600</w:t>
            </w:r>
          </w:p>
        </w:tc>
        <w:tc>
          <w:tcPr/>
          <w:p>
            <w:pPr>
              <w:pStyle w:val="Compact"/>
              <w:jc w:val="left"/>
            </w:pPr>
            <w:r>
              <w:t xml:space="preserve">408,800</w:t>
            </w:r>
          </w:p>
        </w:tc>
      </w:tr>
      <w:tr>
        <w:tc>
          <w:tcPr/>
          <w:p>
            <w:pPr>
              <w:pStyle w:val="Compact"/>
              <w:jc w:val="left"/>
            </w:pPr>
            <w:r>
              <w:t xml:space="preserve">08</w:t>
            </w:r>
          </w:p>
        </w:tc>
        <w:tc>
          <w:tcPr/>
          <w:p>
            <w:pPr>
              <w:pStyle w:val="Compact"/>
              <w:jc w:val="left"/>
            </w:pPr>
            <w:r>
              <w:t xml:space="preserve">Supply and installation of ceramic tile on masonry walls (60x60 cm, first quality) – Bathroom and kitchen backsplash</w:t>
            </w:r>
          </w:p>
        </w:tc>
        <w:tc>
          <w:tcPr/>
          <w:p>
            <w:pPr>
              <w:pStyle w:val="Compact"/>
              <w:jc w:val="left"/>
            </w:pPr>
            <w:r>
              <w:t xml:space="preserve">m²</w:t>
            </w:r>
          </w:p>
        </w:tc>
        <w:tc>
          <w:tcPr/>
          <w:p>
            <w:pPr>
              <w:pStyle w:val="Compact"/>
              <w:jc w:val="left"/>
            </w:pPr>
            <w:r>
              <w:t xml:space="preserve">34.0</w:t>
            </w:r>
          </w:p>
        </w:tc>
        <w:tc>
          <w:tcPr/>
          <w:p>
            <w:pPr>
              <w:pStyle w:val="Compact"/>
              <w:jc w:val="left"/>
            </w:pPr>
            <w:r>
              <w:t xml:space="preserve">22,300</w:t>
            </w:r>
          </w:p>
        </w:tc>
        <w:tc>
          <w:tcPr/>
          <w:p>
            <w:pPr>
              <w:pStyle w:val="Compact"/>
              <w:jc w:val="left"/>
            </w:pPr>
            <w:r>
              <w:t xml:space="preserve">758,200</w:t>
            </w:r>
          </w:p>
        </w:tc>
      </w:tr>
      <w:tr>
        <w:tc>
          <w:tcPr/>
          <w:p>
            <w:pPr>
              <w:pStyle w:val="Compact"/>
              <w:jc w:val="left"/>
            </w:pPr>
            <w:r>
              <w:t xml:space="preserve">09</w:t>
            </w:r>
          </w:p>
        </w:tc>
        <w:tc>
          <w:tcPr/>
          <w:p>
            <w:pPr>
              <w:pStyle w:val="Compact"/>
              <w:jc w:val="left"/>
            </w:pPr>
            <w:r>
              <w:t xml:space="preserve">Waterproofing of masonry foundation and ground-floor walls (bituminous membrane, 2 layers)</w:t>
            </w:r>
          </w:p>
        </w:tc>
        <w:tc>
          <w:tcPr/>
          <w:p>
            <w:pPr>
              <w:pStyle w:val="Compact"/>
              <w:jc w:val="left"/>
            </w:pPr>
            <w:r>
              <w:t xml:space="preserve">m²</w:t>
            </w:r>
          </w:p>
        </w:tc>
        <w:tc>
          <w:tcPr/>
          <w:p>
            <w:pPr>
              <w:pStyle w:val="Compact"/>
              <w:jc w:val="left"/>
            </w:pPr>
            <w:r>
              <w:t xml:space="preserve">42.0</w:t>
            </w:r>
          </w:p>
        </w:tc>
        <w:tc>
          <w:tcPr/>
          <w:p>
            <w:pPr>
              <w:pStyle w:val="Compact"/>
              <w:jc w:val="left"/>
            </w:pPr>
            <w:r>
              <w:t xml:space="preserve">18,900</w:t>
            </w:r>
          </w:p>
        </w:tc>
        <w:tc>
          <w:tcPr/>
          <w:p>
            <w:pPr>
              <w:pStyle w:val="Compact"/>
              <w:jc w:val="left"/>
            </w:pPr>
            <w:r>
              <w:t xml:space="preserve">793,800</w:t>
            </w:r>
          </w:p>
        </w:tc>
      </w:tr>
      <w:tr>
        <w:tc>
          <w:tcPr/>
          <w:p>
            <w:pPr>
              <w:pStyle w:val="Compact"/>
              <w:jc w:val="left"/>
            </w:pPr>
            <w:r>
              <w:t xml:space="preserve">10</w:t>
            </w:r>
          </w:p>
        </w:tc>
        <w:tc>
          <w:tcPr/>
          <w:p>
            <w:pPr>
              <w:pStyle w:val="Compact"/>
              <w:jc w:val="left"/>
            </w:pPr>
            <w:r>
              <w:t xml:space="preserve">Site supervision, project management, and final masonry quality inspection by licensed Mason engineer</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gridSpan w:val="5"/>
          </w:tcPr>
          <w:p>
            <w:pPr>
              <w:pStyle w:val="Compact"/>
              <w:jc w:val="left"/>
            </w:pPr>
            <w:r>
              <w:t xml:space="preserve">SUBTOTAL</w:t>
            </w:r>
          </w:p>
        </w:tc>
        <w:tc>
          <w:tcPr/>
          <w:p>
            <w:pPr>
              <w:pStyle w:val="Compact"/>
              <w:jc w:val="left"/>
            </w:pPr>
            <w:r>
              <w:t xml:space="preserve">8,037,550</w:t>
            </w:r>
          </w:p>
        </w:tc>
      </w:tr>
      <w:tr>
        <w:tc>
          <w:tcPr>
            <w:gridSpan w:val="5"/>
          </w:tcPr>
          <w:p>
            <w:pPr>
              <w:pStyle w:val="Compact"/>
              <w:jc w:val="left"/>
            </w:pPr>
            <w:r>
              <w:t xml:space="preserve">IVA (21% – Argentine Value Added Tax)</w:t>
            </w:r>
          </w:p>
        </w:tc>
        <w:tc>
          <w:tcPr/>
          <w:p>
            <w:pPr>
              <w:pStyle w:val="Compact"/>
              <w:jc w:val="left"/>
            </w:pPr>
            <w:r>
              <w:t xml:space="preserve">1,687,886</w:t>
            </w:r>
          </w:p>
        </w:tc>
      </w:tr>
      <w:tr>
        <w:tc>
          <w:tcPr>
            <w:gridSpan w:val="5"/>
          </w:tcPr>
          <w:p>
            <w:pPr>
              <w:pStyle w:val="Compact"/>
              <w:jc w:val="left"/>
            </w:pPr>
            <w:r>
              <w:t xml:space="preserve">TOTAL QUOTATION ESTIMATE (ARS)</w:t>
            </w:r>
          </w:p>
        </w:tc>
        <w:tc>
          <w:tcPr/>
          <w:p>
            <w:pPr>
              <w:pStyle w:val="Compact"/>
              <w:jc w:val="left"/>
            </w:pPr>
            <w:r>
              <w:t xml:space="preserve">9,725,436</w:t>
            </w:r>
          </w:p>
        </w:tc>
      </w:tr>
    </w:tbl>
    <w:bookmarkEnd w:id="24"/>
    <w:bookmarkStart w:id="25" w:name="project-timeline"/>
    <w:p>
      <w:pPr>
        <w:pStyle w:val="Heading2"/>
      </w:pPr>
      <w:r>
        <w:t xml:space="preserve">3. Project Timeline</w:t>
      </w:r>
    </w:p>
    <w:p>
      <w:pPr>
        <w:pStyle w:val="FirstParagraph"/>
      </w:pPr>
      <w:r>
        <w:t xml:space="preserve">The estimated duration for the completion of all</w:t>
      </w:r>
      <w:r>
        <w:t xml:space="preserve"> </w:t>
      </w:r>
      <w:r>
        <w:t xml:space="preserve">Mason</w:t>
      </w:r>
      <w:r>
        <w:t xml:space="preserve"> </w:t>
      </w:r>
      <w:r>
        <w:t xml:space="preserve">works described in this</w:t>
      </w:r>
      <w:r>
        <w:t xml:space="preserve"> </w:t>
      </w:r>
      <w:r>
        <w:t xml:space="preserve">Quotation Estimate</w:t>
      </w:r>
      <w:r>
        <w:t xml:space="preserve"> </w:t>
      </w:r>
      <w:r>
        <w:t xml:space="preserve">is</w:t>
      </w:r>
      <w:r>
        <w:t xml:space="preserve"> </w:t>
      </w:r>
      <w:r>
        <w:rPr>
          <w:bCs/>
          <w:b/>
        </w:rPr>
        <w:t xml:space="preserve">eight (8) working weeks</w:t>
      </w:r>
      <w:r>
        <w:t xml:space="preserve">, commencing from the date of written approval and receipt of the initial payment. The schedule accounts for standard curing times of cement mortar and concrete elements, as well as the seasonal weather conditions typical of</w:t>
      </w:r>
      <w:r>
        <w:t xml:space="preserve"> </w:t>
      </w:r>
      <w:r>
        <w:t xml:space="preserve">Argentina Buenos Aires</w:t>
      </w:r>
      <w:r>
        <w:t xml:space="preserve"> </w:t>
      </w:r>
      <w:r>
        <w:t xml:space="preserve">during the autumn and winter months. Any delays caused by force majeure, municipal permit holdups, or client-requested design modifications will be communicated in writing and may extend the timeline accordingly.</w:t>
      </w:r>
    </w:p>
    <w:bookmarkEnd w:id="25"/>
    <w:bookmarkStart w:id="26" w:name="payment-terms"/>
    <w:p>
      <w:pPr>
        <w:pStyle w:val="Heading2"/>
      </w:pPr>
      <w:r>
        <w:t xml:space="preserve">4. Payment Terms</w:t>
      </w:r>
    </w:p>
    <w:p>
      <w:pPr>
        <w:numPr>
          <w:ilvl w:val="0"/>
          <w:numId w:val="1001"/>
        </w:numPr>
        <w:pStyle w:val="Compact"/>
      </w:pPr>
      <w:r>
        <w:rPr>
          <w:bCs/>
          <w:b/>
        </w:rPr>
        <w:t xml:space="preserve">30% Advance Payment:</w:t>
      </w:r>
      <w:r>
        <w:t xml:space="preserve"> </w:t>
      </w:r>
      <w:r>
        <w:t xml:space="preserve">Due upon signing of this Quotation Estimate and commencement of works (ARS 2,917,631).</w:t>
      </w:r>
    </w:p>
    <w:p>
      <w:pPr>
        <w:numPr>
          <w:ilvl w:val="0"/>
          <w:numId w:val="1001"/>
        </w:numPr>
        <w:pStyle w:val="Compact"/>
      </w:pPr>
      <w:r>
        <w:rPr>
          <w:bCs/>
          <w:b/>
        </w:rPr>
        <w:t xml:space="preserve">40% Progress Payment:</w:t>
      </w:r>
      <w:r>
        <w:t xml:space="preserve"> </w:t>
      </w:r>
      <w:r>
        <w:t xml:space="preserve">Due upon completion of all structural masonry (items 01–03) and verified by the client (ARS 3,890,174).</w:t>
      </w:r>
    </w:p>
    <w:p>
      <w:pPr>
        <w:numPr>
          <w:ilvl w:val="0"/>
          <w:numId w:val="1001"/>
        </w:numPr>
        <w:pStyle w:val="Compact"/>
      </w:pPr>
      <w:r>
        <w:rPr>
          <w:bCs/>
          <w:b/>
        </w:rPr>
        <w:t xml:space="preserve">30% Final Payment:</w:t>
      </w:r>
      <w:r>
        <w:t xml:space="preserve"> </w:t>
      </w:r>
      <w:r>
        <w:t xml:space="preserve">Due upon completion, final inspection, and handover of all Mason works (ARS 2,917,631).</w:t>
      </w:r>
    </w:p>
    <w:p>
      <w:pPr>
        <w:numPr>
          <w:ilvl w:val="0"/>
          <w:numId w:val="1001"/>
        </w:numPr>
        <w:pStyle w:val="Compact"/>
      </w:pPr>
      <w:r>
        <w:t xml:space="preserve">All payments shall be made via bank transfer to the account of Patagonia Mason &amp; Construction S.R.L., Banco Nación Argentina, CBU: 0110003100000000000009, CUIT: 30-71234567-8.</w:t>
      </w:r>
    </w:p>
    <w:bookmarkEnd w:id="26"/>
    <w:bookmarkStart w:id="27"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Prices are subject to revision if raw material costs (cement, brick, steel) fluctuate by more than 10% in the Buenos Aires market.</w:t>
      </w:r>
    </w:p>
    <w:p>
      <w:pPr>
        <w:numPr>
          <w:ilvl w:val="0"/>
          <w:numId w:val="1002"/>
        </w:numPr>
        <w:pStyle w:val="Compact"/>
      </w:pPr>
      <w:r>
        <w:t xml:space="preserve">All</w:t>
      </w:r>
      <w:r>
        <w:t xml:space="preserve"> </w:t>
      </w:r>
      <w:r>
        <w:t xml:space="preserve">Mason</w:t>
      </w:r>
      <w:r>
        <w:t xml:space="preserve"> </w:t>
      </w:r>
      <w:r>
        <w:t xml:space="preserve">workmanship is guaranteed for a period of two (2) years from the date of final acceptance, covering structural integrity of masonry elements. This warranty does not cover damage caused by natural disasters, improper use, or third-party modifications.</w:t>
      </w:r>
    </w:p>
    <w:p>
      <w:pPr>
        <w:numPr>
          <w:ilvl w:val="0"/>
          <w:numId w:val="1002"/>
        </w:numPr>
        <w:pStyle w:val="Compact"/>
      </w:pPr>
      <w:r>
        <w:t xml:space="preserve">The client is responsible for obtaining all necessary construction permits from the Subsecretaría de Control de Obras Particulares, City of Buenos Aires, prior to the start of works. Our office will provide all technical documentation required for the permit application.</w:t>
      </w:r>
    </w:p>
    <w:p>
      <w:pPr>
        <w:numPr>
          <w:ilvl w:val="0"/>
          <w:numId w:val="1002"/>
        </w:numPr>
        <w:pStyle w:val="Compact"/>
      </w:pPr>
      <w:r>
        <w:t xml:space="preserve">Working hours on site in</w:t>
      </w:r>
      <w:r>
        <w:t xml:space="preserve"> </w:t>
      </w:r>
      <w:r>
        <w:t xml:space="preserve">Argentina Buenos Aires</w:t>
      </w:r>
      <w:r>
        <w:t xml:space="preserve"> </w:t>
      </w:r>
      <w:r>
        <w:t xml:space="preserve">shall be Monday through Friday, 08:00 to 17:00, and Saturday 08:00 to 12:00, in compliance with local labor regulations (Ley de Contrato de Trabajo, Decreto 146/86).</w:t>
      </w:r>
    </w:p>
    <w:p>
      <w:pPr>
        <w:numPr>
          <w:ilvl w:val="0"/>
          <w:numId w:val="1002"/>
        </w:numPr>
        <w:pStyle w:val="Compact"/>
      </w:pPr>
      <w:r>
        <w:t xml:space="preserve">All materials specified in this Quotation Estimate are of Argentine national manufacture unless otherwise noted. Substitutions of equivalent quality require prior written approval from the client.</w:t>
      </w:r>
    </w:p>
    <w:p>
      <w:pPr>
        <w:numPr>
          <w:ilvl w:val="0"/>
          <w:numId w:val="1002"/>
        </w:numPr>
        <w:pStyle w:val="Compact"/>
      </w:pPr>
      <w:r>
        <w:t xml:space="preserve">Disputes arising from this Quotation Estimate shall be resolved under the jurisdiction of the commercial courts of the City of Buenos Aires, Argentina.</w:t>
      </w:r>
    </w:p>
    <w:p>
      <w:pPr>
        <w:numPr>
          <w:ilvl w:val="0"/>
          <w:numId w:val="1002"/>
        </w:numPr>
        <w:pStyle w:val="Compact"/>
      </w:pPr>
      <w:r>
        <w:t xml:space="preserve">This document constitutes a binding offer only upon written acceptance by both parties. No work shall commence until the advance payment has been received in full.</w:t>
      </w:r>
    </w:p>
    <w:bookmarkEnd w:id="27"/>
    <w:bookmarkStart w:id="28" w:name="acceptance-and-signatures"/>
    <w:p>
      <w:pPr>
        <w:pStyle w:val="Heading2"/>
      </w:pPr>
      <w:r>
        <w:t xml:space="preserve">6. Acceptance and Signatures</w:t>
      </w:r>
    </w:p>
    <w:p>
      <w:pPr>
        <w:pStyle w:val="FirstParagraph"/>
      </w:pPr>
      <w:r>
        <w:t xml:space="preserve">By signing below, both parties acknowledge and agree to all terms, conditions, and pricing outlined in this</w:t>
      </w:r>
      <w:r>
        <w:t xml:space="preserve"> </w:t>
      </w:r>
      <w:r>
        <w:t xml:space="preserve">Quotation Estimate</w:t>
      </w:r>
      <w:r>
        <w:t xml:space="preserve"> </w:t>
      </w:r>
      <w:r>
        <w:t xml:space="preserve">for</w:t>
      </w:r>
      <w:r>
        <w:t xml:space="preserve"> </w:t>
      </w:r>
      <w:r>
        <w:t xml:space="preserve">Mason</w:t>
      </w:r>
      <w:r>
        <w:t xml:space="preserve"> </w:t>
      </w:r>
      <w:r>
        <w:t xml:space="preserve">services to be performed in</w:t>
      </w:r>
      <w:r>
        <w:t xml:space="preserve"> </w:t>
      </w:r>
      <w:r>
        <w:t xml:space="preserve">Argentina Buenos Aires</w:t>
      </w:r>
      <w:r>
        <w:t xml:space="preserve">.</w:t>
      </w:r>
    </w:p>
    <w:p>
      <w:pPr>
        <w:pStyle w:val="BodyText"/>
      </w:pPr>
      <w:r>
        <w:rPr>
          <w:bCs/>
          <w:b/>
        </w:rPr>
        <w:t xml:space="preserve">For Patagonia Mason &amp; Construction S.R.L.</w:t>
      </w:r>
      <w:r>
        <w:br/>
      </w:r>
      <w:r>
        <w:t xml:space="preserve">Ing. Carlos R. Méndez – Director Técnico</w:t>
      </w:r>
      <w:r>
        <w:br/>
      </w:r>
      <w:r>
        <w:t xml:space="preserve">Mat. CIP: 123456</w:t>
      </w:r>
      <w:r>
        <w:br/>
      </w:r>
      <w:r>
        <w:t xml:space="preserve">Date: _______________</w:t>
      </w:r>
    </w:p>
    <w:p>
      <w:pPr>
        <w:pStyle w:val="BodyText"/>
      </w:pPr>
      <w:r>
        <w:rPr>
          <w:bCs/>
          <w:b/>
        </w:rPr>
        <w:t xml:space="preserve">For the Client</w:t>
      </w:r>
      <w:r>
        <w:br/>
      </w:r>
      <w:r>
        <w:t xml:space="preserve">Sr. Alejandro Fernández</w:t>
      </w:r>
      <w:r>
        <w:br/>
      </w:r>
      <w:r>
        <w:t xml:space="preserve">Fernández Propiedades S.A.</w:t>
      </w:r>
      <w:r>
        <w:br/>
      </w:r>
      <w:r>
        <w:t xml:space="preserve">Date: _______________</w:t>
      </w:r>
    </w:p>
    <w:p>
      <w:pPr>
        <w:pStyle w:val="BodyText"/>
      </w:pPr>
      <w:r>
        <w:t xml:space="preserve">Patagonia Mason &amp; Construction S.R.L. | Quotation Estimate QME-2025-0847 | Argentina Buenos Aires</w:t>
      </w:r>
    </w:p>
    <w:p>
      <w:pPr>
        <w:pStyle w:val="BodyText"/>
      </w:pPr>
      <w:r>
        <w:t xml:space="preserve">This document is generated electronically and is valid without a physical stamp. For inquiries, contact info@patagoniamason.com.ar</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Mason Services - Argentina Buenos Aires</dc:title>
  <dc:creator/>
  <dc:language>en</dc:language>
  <cp:keywords/>
  <dcterms:created xsi:type="dcterms:W3CDTF">2026-10-10T08:02:22Z</dcterms:created>
  <dcterms:modified xsi:type="dcterms:W3CDTF">2026-10-10T08:02:22Z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