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Córdoba Mason &amp; Construction Services S.R.L.</w:t>
      </w:r>
    </w:p>
    <w:p>
      <w:pPr>
        <w:pStyle w:val="BodyText"/>
      </w:pPr>
      <w:r>
        <w:t xml:space="preserve">Av. Vélez Sarsfield 1247, Centro, Córdoba, Argentina</w:t>
      </w:r>
    </w:p>
    <w:p>
      <w:pPr>
        <w:pStyle w:val="BodyText"/>
      </w:pPr>
      <w:r>
        <w:t xml:space="preserve">CUIT: 30-71234567-8 | Tel: +54 351 422-8890 | Email: info@cordobamason.com.ar</w:t>
      </w:r>
    </w:p>
    <w:p>
      <w:pPr>
        <w:pStyle w:val="BodyText"/>
      </w:pPr>
      <w:r>
        <w:t xml:space="preserve">Registered Mason Contractor – Province of Córdoba, Argentina</w:t>
      </w:r>
    </w:p>
    <w:bookmarkEnd w:id="20"/>
    <w:p>
      <w:pPr>
        <w:pStyle w:val="BodyText"/>
      </w:pPr>
      <w:r>
        <w:rPr>
          <w:bCs/>
          <w:b/>
        </w:rPr>
        <w:t xml:space="preserve">Quotation Estimate No.:</w:t>
      </w:r>
      <w:r>
        <w:t xml:space="preserve"> </w:t>
      </w:r>
      <w:r>
        <w:t xml:space="preserve">QTE-CBA-2025-0487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Sr. Alejandro Fernández</w:t>
      </w:r>
    </w:p>
    <w:p>
      <w:pPr>
        <w:pStyle w:val="BodyText"/>
      </w:pPr>
      <w:r>
        <w:rPr>
          <w:bCs/>
          <w:b/>
        </w:rPr>
        <w:t xml:space="preserve">Address:</w:t>
      </w:r>
      <w:r>
        <w:t xml:space="preserve"> </w:t>
      </w:r>
      <w:r>
        <w:t xml:space="preserve">Calle San Jerónimo 892, Barrio Alta Córdoba, Córdoba, Argentina</w:t>
      </w:r>
    </w:p>
    <w:p>
      <w:pPr>
        <w:pStyle w:val="BodyText"/>
      </w:pPr>
      <w:r>
        <w:rPr>
          <w:bCs/>
          <w:b/>
        </w:rPr>
        <w:t xml:space="preserve">Project Site:</w:t>
      </w:r>
      <w:r>
        <w:t xml:space="preserve"> </w:t>
      </w:r>
      <w:r>
        <w:t xml:space="preserve">Córdoba, Argentina</w:t>
      </w:r>
    </w:p>
    <w:p>
      <w:pPr>
        <w:pStyle w:val="BodyText"/>
      </w:pPr>
      <w:r>
        <w:t xml:space="preserve">1. SCOPE OF WORK – MASON SERVICES IN ARGENTINA CÓRDOBA</w:t>
      </w:r>
    </w:p>
    <w:p>
      <w:pPr>
        <w:pStyle w:val="BodyText"/>
      </w:pPr>
      <w:r>
        <w:t xml:space="preserve">This</w:t>
      </w:r>
      <w:r>
        <w:t xml:space="preserve"> </w:t>
      </w:r>
      <w:r>
        <w:t xml:space="preserve">Quotation Estimate</w:t>
      </w:r>
      <w:r>
        <w:t xml:space="preserve"> </w:t>
      </w:r>
      <w:r>
        <w:t xml:space="preserve">is issued by Córdoba Mason &amp; Construction Services S.R.L. to provide a comprehensive breakdown of professional</w:t>
      </w:r>
      <w:r>
        <w:t xml:space="preserve"> </w:t>
      </w:r>
      <w:r>
        <w:t xml:space="preserve">Mason</w:t>
      </w:r>
      <w:r>
        <w:t xml:space="preserve"> </w:t>
      </w:r>
      <w:r>
        <w:t xml:space="preserve">services to be executed at the residential property located in the city of</w:t>
      </w:r>
      <w:r>
        <w:t xml:space="preserve"> </w:t>
      </w:r>
      <w:r>
        <w:t xml:space="preserve">Argentina Córdoba</w:t>
      </w:r>
      <w:r>
        <w:t xml:space="preserve">, specifically in the Barrio Alta Córdoba district. The scope encompasses all masonry-related works required for the renovation and structural reinforcement of a two-storey residential dwelling, in full compliance with the municipal building regulations of the Municipalidad de Córdoba and the national construction standards established by the Argentine Institute of Engineers (IAA).</w:t>
      </w:r>
    </w:p>
    <w:p>
      <w:pPr>
        <w:pStyle w:val="BodyText"/>
      </w:pPr>
      <w:r>
        <w:t xml:space="preserve">Our team of certified</w:t>
      </w:r>
      <w:r>
        <w:t xml:space="preserve"> </w:t>
      </w:r>
      <w:r>
        <w:t xml:space="preserve">Mason</w:t>
      </w:r>
      <w:r>
        <w:t xml:space="preserve"> </w:t>
      </w:r>
      <w:r>
        <w:t xml:space="preserve">professionals, with an average of fifteen years of experience in residential and commercial masonry work across the province of Córdoba, will be responsible for the complete execution of the works described herein. All materials, labour, equipment, and site management are included in this</w:t>
      </w:r>
      <w:r>
        <w:t xml:space="preserve"> </w:t>
      </w:r>
      <w:r>
        <w:t xml:space="preserve">Quotation Estimate</w:t>
      </w:r>
      <w:r>
        <w:t xml:space="preserve"> </w:t>
      </w:r>
      <w:r>
        <w:t xml:space="preserve">unless otherwise noted.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Demolition of existing brick walls (interior partitions, 12 cm thick) including debris removal and site cleanup</w:t>
            </w:r>
          </w:p>
        </w:tc>
        <w:tc>
          <w:tcPr/>
          <w:p>
            <w:pPr>
              <w:pStyle w:val="Compact"/>
              <w:jc w:val="left"/>
            </w:pPr>
            <w:r>
              <w:t xml:space="preserve">85</w:t>
            </w:r>
          </w:p>
        </w:tc>
        <w:tc>
          <w:tcPr/>
          <w:p>
            <w:pPr>
              <w:pStyle w:val="Compact"/>
              <w:jc w:val="left"/>
            </w:pPr>
            <w:r>
              <w:t xml:space="preserve">m²</w:t>
            </w:r>
          </w:p>
        </w:tc>
        <w:tc>
          <w:tcPr/>
          <w:p>
            <w:pPr>
              <w:pStyle w:val="Compact"/>
              <w:jc w:val="left"/>
            </w:pPr>
            <w:r>
              <w:t xml:space="preserve">4,200.00</w:t>
            </w:r>
          </w:p>
        </w:tc>
        <w:tc>
          <w:tcPr/>
          <w:p>
            <w:pPr>
              <w:pStyle w:val="Compact"/>
              <w:jc w:val="left"/>
            </w:pPr>
            <w:r>
              <w:t xml:space="preserve">357,000.00</w:t>
            </w:r>
          </w:p>
        </w:tc>
      </w:tr>
      <w:tr>
        <w:tc>
          <w:tcPr/>
          <w:p>
            <w:pPr>
              <w:pStyle w:val="Compact"/>
              <w:jc w:val="left"/>
            </w:pPr>
            <w:r>
              <w:t xml:space="preserve">02</w:t>
            </w:r>
          </w:p>
        </w:tc>
        <w:tc>
          <w:tcPr/>
          <w:p>
            <w:pPr>
              <w:pStyle w:val="Compact"/>
              <w:jc w:val="left"/>
            </w:pPr>
            <w:r>
              <w:t xml:space="preserve">Construction of new load-bearing masonry walls using solid clay bricks (ladrillo macizo) with cement mortar, 24 cm thickness, including foundation tie-in</w:t>
            </w:r>
          </w:p>
        </w:tc>
        <w:tc>
          <w:tcPr/>
          <w:p>
            <w:pPr>
              <w:pStyle w:val="Compact"/>
              <w:jc w:val="left"/>
            </w:pPr>
            <w:r>
              <w:t xml:space="preserve">120</w:t>
            </w:r>
          </w:p>
        </w:tc>
        <w:tc>
          <w:tcPr/>
          <w:p>
            <w:pPr>
              <w:pStyle w:val="Compact"/>
              <w:jc w:val="left"/>
            </w:pPr>
            <w:r>
              <w:t xml:space="preserve">m²</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Construction of non-load-bearing partition walls using hollow clay bricks (ladrillo hueco) with cement mortar, 12 cm thickness</w:t>
            </w:r>
          </w:p>
        </w:tc>
        <w:tc>
          <w:tcPr/>
          <w:p>
            <w:pPr>
              <w:pStyle w:val="Compact"/>
              <w:jc w:val="left"/>
            </w:pPr>
            <w:r>
              <w:t xml:space="preserve">95</w:t>
            </w:r>
          </w:p>
        </w:tc>
        <w:tc>
          <w:tcPr/>
          <w:p>
            <w:pPr>
              <w:pStyle w:val="Compact"/>
              <w:jc w:val="left"/>
            </w:pPr>
            <w:r>
              <w:t xml:space="preserve">m²</w:t>
            </w:r>
          </w:p>
        </w:tc>
        <w:tc>
          <w:tcPr/>
          <w:p>
            <w:pPr>
              <w:pStyle w:val="Compact"/>
              <w:jc w:val="left"/>
            </w:pPr>
            <w:r>
              <w:t xml:space="preserve">12,800.00</w:t>
            </w:r>
          </w:p>
        </w:tc>
        <w:tc>
          <w:tcPr/>
          <w:p>
            <w:pPr>
              <w:pStyle w:val="Compact"/>
              <w:jc w:val="left"/>
            </w:pPr>
            <w:r>
              <w:t xml:space="preserve">1,216,000.00</w:t>
            </w:r>
          </w:p>
        </w:tc>
      </w:tr>
      <w:tr>
        <w:tc>
          <w:tcPr/>
          <w:p>
            <w:pPr>
              <w:pStyle w:val="Compact"/>
              <w:jc w:val="left"/>
            </w:pPr>
            <w:r>
              <w:t xml:space="preserve">04</w:t>
            </w:r>
          </w:p>
        </w:tc>
        <w:tc>
          <w:tcPr/>
          <w:p>
            <w:pPr>
              <w:pStyle w:val="Compact"/>
              <w:jc w:val="left"/>
            </w:pPr>
            <w:r>
              <w:t xml:space="preserve">Installation of reinforced concrete lintels (dintel de hormigón armado) over all new door and window openings, 15 cm × 12 cm cross-section</w:t>
            </w:r>
          </w:p>
        </w:tc>
        <w:tc>
          <w:tcPr/>
          <w:p>
            <w:pPr>
              <w:pStyle w:val="Compact"/>
              <w:jc w:val="left"/>
            </w:pPr>
            <w:r>
              <w:t xml:space="preserve">14</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392,000.00</w:t>
            </w:r>
          </w:p>
        </w:tc>
      </w:tr>
      <w:tr>
        <w:tc>
          <w:tcPr/>
          <w:p>
            <w:pPr>
              <w:pStyle w:val="Compact"/>
              <w:jc w:val="left"/>
            </w:pPr>
            <w:r>
              <w:t xml:space="preserve">05</w:t>
            </w:r>
          </w:p>
        </w:tc>
        <w:tc>
          <w:tcPr/>
          <w:p>
            <w:pPr>
              <w:pStyle w:val="Compact"/>
              <w:jc w:val="left"/>
            </w:pPr>
            <w:r>
              <w:t xml:space="preserve">Application of cement plaster (revoque de cemento) on both faces of all new masonry walls, 2 cm thickness, including curing</w:t>
            </w:r>
          </w:p>
        </w:tc>
        <w:tc>
          <w:tcPr/>
          <w:p>
            <w:pPr>
              <w:pStyle w:val="Compact"/>
              <w:jc w:val="left"/>
            </w:pPr>
            <w:r>
              <w:t xml:space="preserve">430</w:t>
            </w:r>
          </w:p>
        </w:tc>
        <w:tc>
          <w:tcPr/>
          <w:p>
            <w:pPr>
              <w:pStyle w:val="Compact"/>
              <w:jc w:val="left"/>
            </w:pPr>
            <w:r>
              <w:t xml:space="preserve">m²</w:t>
            </w:r>
          </w:p>
        </w:tc>
        <w:tc>
          <w:tcPr/>
          <w:p>
            <w:pPr>
              <w:pStyle w:val="Compact"/>
              <w:jc w:val="left"/>
            </w:pPr>
            <w:r>
              <w:t xml:space="preserve">6,500.00</w:t>
            </w:r>
          </w:p>
        </w:tc>
        <w:tc>
          <w:tcPr/>
          <w:p>
            <w:pPr>
              <w:pStyle w:val="Compact"/>
              <w:jc w:val="left"/>
            </w:pPr>
            <w:r>
              <w:t xml:space="preserve">2,795,000.00</w:t>
            </w:r>
          </w:p>
        </w:tc>
      </w:tr>
      <w:tr>
        <w:tc>
          <w:tcPr/>
          <w:p>
            <w:pPr>
              <w:pStyle w:val="Compact"/>
              <w:jc w:val="left"/>
            </w:pPr>
            <w:r>
              <w:t xml:space="preserve">06</w:t>
            </w:r>
          </w:p>
        </w:tc>
        <w:tc>
          <w:tcPr/>
          <w:p>
            <w:pPr>
              <w:pStyle w:val="Compact"/>
              <w:jc w:val="left"/>
            </w:pPr>
            <w:r>
              <w:t xml:space="preserve">Construction of masonry chimney breast and flue lining using fire-rated refractory bricks, including mortar joints and sealing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Repointing and repair of existing exterior masonry façade (approx. 200 m²), including removal of deteriorated mortar, cleaning, and application of new weather-resistant mortar</w:t>
            </w:r>
          </w:p>
        </w:tc>
        <w:tc>
          <w:tcPr/>
          <w:p>
            <w:pPr>
              <w:pStyle w:val="Compact"/>
              <w:jc w:val="left"/>
            </w:pPr>
            <w:r>
              <w:t xml:space="preserve">200</w:t>
            </w:r>
          </w:p>
        </w:tc>
        <w:tc>
          <w:tcPr/>
          <w:p>
            <w:pPr>
              <w:pStyle w:val="Compact"/>
              <w:jc w:val="left"/>
            </w:pPr>
            <w:r>
              <w:t xml:space="preserve">m²</w:t>
            </w:r>
          </w:p>
        </w:tc>
        <w:tc>
          <w:tcPr/>
          <w:p>
            <w:pPr>
              <w:pStyle w:val="Compact"/>
              <w:jc w:val="left"/>
            </w:pPr>
            <w:r>
              <w:t xml:space="preserve">9,800.00</w:t>
            </w:r>
          </w:p>
        </w:tc>
        <w:tc>
          <w:tcPr/>
          <w:p>
            <w:pPr>
              <w:pStyle w:val="Compact"/>
              <w:jc w:val="left"/>
            </w:pPr>
            <w:r>
              <w:t xml:space="preserve">1,960,000.00</w:t>
            </w:r>
          </w:p>
        </w:tc>
      </w:tr>
      <w:tr>
        <w:tc>
          <w:tcPr/>
          <w:p>
            <w:pPr>
              <w:pStyle w:val="Compact"/>
              <w:jc w:val="left"/>
            </w:pPr>
            <w:r>
              <w:t xml:space="preserve">08</w:t>
            </w:r>
          </w:p>
        </w:tc>
        <w:tc>
          <w:tcPr/>
          <w:p>
            <w:pPr>
              <w:pStyle w:val="Compact"/>
              <w:jc w:val="left"/>
            </w:pPr>
            <w:r>
              <w:t xml:space="preserve">Supply and installation of masonry waterproofing membrane on ground-floor exterior walls (up to 60 cm above grade level)</w:t>
            </w:r>
          </w:p>
        </w:tc>
        <w:tc>
          <w:tcPr/>
          <w:p>
            <w:pPr>
              <w:pStyle w:val="Compact"/>
              <w:jc w:val="left"/>
            </w:pPr>
            <w:r>
              <w:t xml:space="preserve">65</w:t>
            </w:r>
          </w:p>
        </w:tc>
        <w:tc>
          <w:tcPr/>
          <w:p>
            <w:pPr>
              <w:pStyle w:val="Compact"/>
              <w:jc w:val="left"/>
            </w:pPr>
            <w:r>
              <w:t xml:space="preserve">m²</w:t>
            </w:r>
          </w:p>
        </w:tc>
        <w:tc>
          <w:tcPr/>
          <w:p>
            <w:pPr>
              <w:pStyle w:val="Compact"/>
              <w:jc w:val="left"/>
            </w:pPr>
            <w:r>
              <w:t xml:space="preserve">14,200.00</w:t>
            </w:r>
          </w:p>
        </w:tc>
        <w:tc>
          <w:tcPr/>
          <w:p>
            <w:pPr>
              <w:pStyle w:val="Compact"/>
              <w:jc w:val="left"/>
            </w:pPr>
            <w:r>
              <w:t xml:space="preserve">923,000.00</w:t>
            </w:r>
          </w:p>
        </w:tc>
      </w:tr>
      <w:tr>
        <w:tc>
          <w:tcPr/>
          <w:p>
            <w:pPr>
              <w:pStyle w:val="Compact"/>
              <w:jc w:val="left"/>
            </w:pPr>
            <w:r>
              <w:t xml:space="preserve">09</w:t>
            </w:r>
          </w:p>
        </w:tc>
        <w:tc>
          <w:tcPr/>
          <w:p>
            <w:pPr>
              <w:pStyle w:val="Compact"/>
              <w:jc w:val="left"/>
            </w:pPr>
            <w:r>
              <w:t xml:space="preserve">Site management, safety compliance (ART insurance), waste disposal, and final cleanup in accordance with Córdoba municipal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245,000.00</w:t>
            </w:r>
          </w:p>
        </w:tc>
        <w:tc>
          <w:tcPr/>
          <w:p>
            <w:pPr>
              <w:pStyle w:val="Compact"/>
              <w:jc w:val="left"/>
            </w:pPr>
            <w:r>
              <w:t xml:space="preserve">245,000.00</w:t>
            </w:r>
          </w:p>
        </w:tc>
      </w:tr>
      <w:tr>
        <w:tc>
          <w:tcPr>
            <w:gridSpan w:val="5"/>
          </w:tcPr>
          <w:p>
            <w:pPr>
              <w:pStyle w:val="Compact"/>
              <w:jc w:val="right"/>
            </w:pPr>
            <w:r>
              <w:t xml:space="preserve">TOTAL ESTIMATED COST (before VAT / IVA 21%):</w:t>
            </w:r>
          </w:p>
        </w:tc>
        <w:tc>
          <w:tcPr/>
          <w:p>
            <w:pPr>
              <w:pStyle w:val="Compact"/>
              <w:jc w:val="left"/>
            </w:pPr>
            <w:r>
              <w:t xml:space="preserve">10,293,000.00</w:t>
            </w:r>
          </w:p>
        </w:tc>
      </w:tr>
      <w:tr>
        <w:tc>
          <w:tcPr>
            <w:gridSpan w:val="5"/>
          </w:tcPr>
          <w:p>
            <w:pPr>
              <w:pStyle w:val="Compact"/>
              <w:jc w:val="right"/>
            </w:pPr>
            <w:r>
              <w:t xml:space="preserve">VAT (IVA 21%):</w:t>
            </w:r>
          </w:p>
        </w:tc>
        <w:tc>
          <w:tcPr/>
          <w:p>
            <w:pPr>
              <w:pStyle w:val="Compact"/>
              <w:jc w:val="left"/>
            </w:pPr>
            <w:r>
              <w:t xml:space="preserve">2,161,530.00</w:t>
            </w:r>
          </w:p>
        </w:tc>
      </w:tr>
      <w:tr>
        <w:tc>
          <w:tcPr>
            <w:gridSpan w:val="5"/>
          </w:tcPr>
          <w:p>
            <w:pPr>
              <w:pStyle w:val="Compact"/>
              <w:jc w:val="right"/>
            </w:pPr>
            <w:r>
              <w:t xml:space="preserve">GRAND TOTAL (ARS):</w:t>
            </w:r>
          </w:p>
        </w:tc>
        <w:tc>
          <w:tcPr/>
          <w:p>
            <w:pPr>
              <w:pStyle w:val="Compact"/>
              <w:jc w:val="left"/>
            </w:pPr>
            <w:r>
              <w:t xml:space="preserve">12,454,530.00</w:t>
            </w: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structured as follows: 30% advance payment upon contract signing and mobilization of the</w:t>
      </w:r>
      <w:r>
        <w:t xml:space="preserve"> </w:t>
      </w:r>
      <w:r>
        <w:t xml:space="preserve">Mason</w:t>
      </w:r>
      <w:r>
        <w:t xml:space="preserve"> </w:t>
      </w:r>
      <w:r>
        <w:t xml:space="preserve">crew to the site in</w:t>
      </w:r>
      <w:r>
        <w:t xml:space="preserve"> </w:t>
      </w:r>
      <w:r>
        <w:t xml:space="preserve">Argentina Córdoba</w:t>
      </w:r>
      <w:r>
        <w:t xml:space="preserve">; 40% upon completion of all structural masonry works (Items 01 through 04); and the remaining 30% upon final inspection, acceptance, and handover of the completed works. All payments shall be made in Argentine Pesos (ARS) via bank transfer to the account of Córdoba Mason &amp; Construction Services S.R.L.</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current market rates for masonry materials in the Córdoba region.</w:t>
      </w:r>
    </w:p>
    <w:p>
      <w:pPr>
        <w:numPr>
          <w:ilvl w:val="0"/>
          <w:numId w:val="1001"/>
        </w:numPr>
        <w:pStyle w:val="Compact"/>
      </w:pPr>
      <w:r>
        <w:t xml:space="preserve">All</w:t>
      </w:r>
      <w:r>
        <w:t xml:space="preserve"> </w:t>
      </w:r>
      <w:r>
        <w:t xml:space="preserve">Mason</w:t>
      </w:r>
      <w:r>
        <w:t xml:space="preserve"> </w:t>
      </w:r>
      <w:r>
        <w:t xml:space="preserve">work shall be performed in strict accordance with the approved architectural plans and the technical specifications provided by the client's structural engineer.</w:t>
      </w:r>
    </w:p>
    <w:p>
      <w:pPr>
        <w:numPr>
          <w:ilvl w:val="0"/>
          <w:numId w:val="1001"/>
        </w:numPr>
        <w:pStyle w:val="Compact"/>
      </w:pPr>
      <w:r>
        <w:t xml:space="preserve">The estimated project duration is eight (8) working weeks, subject to weather conditions and the availability of materials in the</w:t>
      </w:r>
      <w:r>
        <w:t xml:space="preserve"> </w:t>
      </w:r>
      <w:r>
        <w:t xml:space="preserve">Argentina Córdoba</w:t>
      </w:r>
      <w:r>
        <w:t xml:space="preserve"> </w:t>
      </w:r>
      <w:r>
        <w:t xml:space="preserve">supply market.</w:t>
      </w:r>
    </w:p>
    <w:p>
      <w:pPr>
        <w:numPr>
          <w:ilvl w:val="0"/>
          <w:numId w:val="1001"/>
        </w:numPr>
        <w:pStyle w:val="Compact"/>
      </w:pPr>
      <w:r>
        <w:t xml:space="preserve">Córdoba Mason &amp; Construction Services S.R.L. shall maintain full ART (Asistencia Médica Recíproca) insurance coverage for all</w:t>
      </w:r>
      <w:r>
        <w:t xml:space="preserve"> </w:t>
      </w:r>
      <w:r>
        <w:t xml:space="preserve">Mason</w:t>
      </w:r>
      <w:r>
        <w:t xml:space="preserve"> </w:t>
      </w:r>
      <w:r>
        <w:t xml:space="preserve">personnel and site workers throughout the duration of the project.</w:t>
      </w:r>
    </w:p>
    <w:p>
      <w:pPr>
        <w:numPr>
          <w:ilvl w:val="0"/>
          <w:numId w:val="1001"/>
        </w:numPr>
        <w:pStyle w:val="Compact"/>
      </w:pPr>
      <w:r>
        <w:t xml:space="preserve">Any additional masonry work not included in this</w:t>
      </w:r>
      <w:r>
        <w:t xml:space="preserve"> </w:t>
      </w:r>
      <w:r>
        <w:t xml:space="preserve">Quotation Estimate</w:t>
      </w:r>
      <w:r>
        <w:t xml:space="preserve"> </w:t>
      </w:r>
      <w:r>
        <w:t xml:space="preserve">shall be subject to a separate written amendment and additional cost approval by the client prior to execution.</w:t>
      </w:r>
    </w:p>
    <w:p>
      <w:pPr>
        <w:numPr>
          <w:ilvl w:val="0"/>
          <w:numId w:val="1001"/>
        </w:numPr>
        <w:pStyle w:val="Compact"/>
      </w:pPr>
      <w:r>
        <w:t xml:space="preserve">The contractor guarantees all masonry work for a period of two (2) years from the date of final acceptance, covering defects in materials and workmanship.</w:t>
      </w:r>
    </w:p>
    <w:p>
      <w:pPr>
        <w:numPr>
          <w:ilvl w:val="0"/>
          <w:numId w:val="1001"/>
        </w:numPr>
        <w:pStyle w:val="Compact"/>
      </w:pPr>
      <w:r>
        <w:t xml:space="preserve">All waste generated during the masonry works shall be disposed of at authorized landfill sites in compliance with the environmental regulations of the Province of Córdoba.</w:t>
      </w:r>
    </w:p>
    <w:p>
      <w:pPr>
        <w:numPr>
          <w:ilvl w:val="0"/>
          <w:numId w:val="1001"/>
        </w:numPr>
        <w:pStyle w:val="Compact"/>
      </w:pPr>
      <w:r>
        <w:t xml:space="preserve">This</w:t>
      </w:r>
      <w:r>
        <w:t xml:space="preserve"> </w:t>
      </w:r>
      <w:r>
        <w:t xml:space="preserve">Quotation Estimate</w:t>
      </w:r>
      <w:r>
        <w:t xml:space="preserve"> </w:t>
      </w:r>
      <w:r>
        <w:t xml:space="preserve">does not include structural engineering design, architectural modifications, electrical or plumbing installations, or any works outside the scope of masonry.</w:t>
      </w:r>
    </w:p>
    <w:p>
      <w:pPr>
        <w:pStyle w:val="FirstParagraph"/>
      </w:pPr>
      <w:r>
        <w:t xml:space="preserve">5. ACCEPTANCE AND SIGNATURE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Mason</w:t>
      </w:r>
      <w:r>
        <w:t xml:space="preserve"> </w:t>
      </w:r>
      <w:r>
        <w:t xml:space="preserve">services to be performed in</w:t>
      </w:r>
      <w:r>
        <w:t xml:space="preserve"> </w:t>
      </w:r>
      <w:r>
        <w:t xml:space="preserve">Argentina Córdoba</w:t>
      </w:r>
      <w:r>
        <w:t xml:space="preserve">. This document, once countersigned by both parties, constitutes a binding agreement for the execution of the described masonry works.</w:t>
      </w:r>
    </w:p>
    <w:p>
      <w:pPr>
        <w:pStyle w:val="BodyText"/>
      </w:pPr>
      <w:r>
        <w:rPr>
          <w:bCs/>
          <w:b/>
        </w:rPr>
        <w:t xml:space="preserve">For Córdoba Mason &amp; Construction Services S.R.L.</w:t>
      </w:r>
      <w:r>
        <w:br/>
      </w:r>
      <w:r>
        <w:t xml:space="preserve">Ing. Roberto Salazar – Project Director</w:t>
      </w:r>
      <w:r>
        <w:br/>
      </w:r>
      <w:r>
        <w:t xml:space="preserve">Date: _______________</w:t>
      </w:r>
    </w:p>
    <w:p>
      <w:pPr>
        <w:pStyle w:val="BodyText"/>
      </w:pPr>
      <w:r>
        <w:rPr>
          <w:bCs/>
          <w:b/>
        </w:rPr>
        <w:t xml:space="preserve">Client Acceptance</w:t>
      </w:r>
      <w:r>
        <w:br/>
      </w:r>
      <w:r>
        <w:t xml:space="preserve">Sr. Alejandro Fernández</w:t>
      </w:r>
      <w:r>
        <w:br/>
      </w:r>
      <w:r>
        <w:t xml:space="preserve">DNI: _______________</w:t>
      </w:r>
      <w:r>
        <w:br/>
      </w:r>
      <w:r>
        <w:t xml:space="preserve">Date: _______________</w:t>
      </w:r>
    </w:p>
    <w:p>
      <w:pPr>
        <w:pStyle w:val="BodyText"/>
      </w:pPr>
      <w:r>
        <w:t xml:space="preserve">Córdoba Mason &amp; Construction Services S.R.L. | Quotation Estimate QTE-CBA-2025-0487 | Page 1 of 1</w:t>
      </w:r>
    </w:p>
    <w:p>
      <w:pPr>
        <w:pStyle w:val="BodyText"/>
      </w:pPr>
      <w:r>
        <w:t xml:space="preserve">This document is issued exclusively for the client named above and is not transferable. All prices are expressed in Argentine Pesos (ARS) and are subject to the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Argentina Córdoba</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