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Masonry &amp; Construction Services</w:t>
      </w:r>
    </w:p>
    <w:p>
      <w:pPr>
        <w:pStyle w:val="BodyText"/>
      </w:pPr>
      <w:r>
        <w:t xml:space="preserve">Specialized Mason Work | Brazil São Paulo</w:t>
      </w:r>
    </w:p>
    <w:p>
      <w:pPr>
        <w:pStyle w:val="BodyText"/>
      </w:pPr>
      <w:r>
        <w:t xml:space="preserve">Document Reference: QE-SP-2025-04782</w:t>
      </w:r>
    </w:p>
    <w:bookmarkEnd w:id="20"/>
    <w:bookmarkStart w:id="21" w:name="service-provider-mason-contractor"/>
    <w:p>
      <w:pPr>
        <w:pStyle w:val="Heading3"/>
      </w:pPr>
      <w:r>
        <w:t xml:space="preserve">Service Provider (Mason Contractor)</w:t>
      </w:r>
    </w:p>
    <w:p>
      <w:pPr>
        <w:pStyle w:val="FirstParagraph"/>
      </w:pPr>
      <w:r>
        <w:rPr>
          <w:bCs/>
          <w:b/>
        </w:rPr>
        <w:t xml:space="preserve">Company:</w:t>
      </w:r>
      <w:r>
        <w:t xml:space="preserve"> </w:t>
      </w:r>
      <w:r>
        <w:t xml:space="preserve">Construtora Alvenaria Paulista Ltda.</w:t>
      </w:r>
    </w:p>
    <w:p>
      <w:pPr>
        <w:pStyle w:val="BodyText"/>
      </w:pPr>
      <w:r>
        <w:rPr>
          <w:bCs/>
          <w:b/>
        </w:rPr>
        <w:t xml:space="preserve">Mason Lead:</w:t>
      </w:r>
      <w:r>
        <w:t xml:space="preserve"> </w:t>
      </w:r>
      <w:r>
        <w:t xml:space="preserve">Eng. Carlos Eduardo Ferreira</w:t>
      </w:r>
    </w:p>
    <w:p>
      <w:pPr>
        <w:pStyle w:val="BodyText"/>
      </w:pPr>
      <w:r>
        <w:rPr>
          <w:bCs/>
          <w:b/>
        </w:rPr>
        <w:t xml:space="preserve">Address:</w:t>
      </w:r>
      <w:r>
        <w:t xml:space="preserve"> </w:t>
      </w:r>
      <w:r>
        <w:t xml:space="preserve">Av. Paulista, 1500 – Bela Vista, São Paulo, SP – Brazil</w:t>
      </w:r>
    </w:p>
    <w:p>
      <w:pPr>
        <w:pStyle w:val="BodyText"/>
      </w:pPr>
      <w:r>
        <w:rPr>
          <w:bCs/>
          <w:b/>
        </w:rPr>
        <w:t xml:space="preserve">CNPJ:</w:t>
      </w:r>
      <w:r>
        <w:t xml:space="preserve"> </w:t>
      </w:r>
      <w:r>
        <w:t xml:space="preserve">12.345.678/0001-90</w:t>
      </w:r>
    </w:p>
    <w:p>
      <w:pPr>
        <w:pStyle w:val="BodyText"/>
      </w:pPr>
      <w:r>
        <w:rPr>
          <w:bCs/>
          <w:b/>
        </w:rPr>
        <w:t xml:space="preserve">Phone:</w:t>
      </w:r>
      <w:r>
        <w:t xml:space="preserve"> </w:t>
      </w:r>
      <w:r>
        <w:t xml:space="preserve">+55 (11) 3456-7890</w:t>
      </w:r>
    </w:p>
    <w:p>
      <w:pPr>
        <w:pStyle w:val="BodyText"/>
      </w:pPr>
      <w:r>
        <w:rPr>
          <w:bCs/>
          <w:b/>
        </w:rPr>
        <w:t xml:space="preserve">Email:</w:t>
      </w:r>
      <w:r>
        <w:t xml:space="preserve"> </w:t>
      </w:r>
      <w:r>
        <w:t xml:space="preserve">estimativa@alvenariapaulista.com.br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Project Address:</w:t>
      </w:r>
      <w:r>
        <w:t xml:space="preserve"> </w:t>
      </w:r>
      <w:r>
        <w:t xml:space="preserve">[Street, Number, Neighborhood], São Paulo, SP – Brazil</w:t>
      </w:r>
    </w:p>
    <w:p>
      <w:pPr>
        <w:pStyle w:val="BodyText"/>
      </w:pPr>
      <w:r>
        <w:rPr>
          <w:bCs/>
          <w:b/>
        </w:rPr>
        <w:t xml:space="preserve">CEP:</w:t>
      </w:r>
      <w:r>
        <w:t xml:space="preserve"> </w:t>
      </w:r>
      <w:r>
        <w:t xml:space="preserve">[Postal Code]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p>
      <w:pPr>
        <w:pStyle w:val="BodyText"/>
      </w:pPr>
      <w:r>
        <w:rPr>
          <w:bCs/>
          <w:b/>
        </w:rPr>
        <w:t xml:space="preserve">CPF/CNPJ:</w:t>
      </w:r>
      <w:r>
        <w:t xml:space="preserve"> </w:t>
      </w:r>
      <w:r>
        <w:t xml:space="preserve">[Tax ID]</w:t>
      </w:r>
    </w:p>
    <w:bookmarkEnd w:id="22"/>
    <w:p>
      <w:pPr>
        <w:pStyle w:val="BodyText"/>
      </w:pPr>
      <w:r>
        <w:rPr>
          <w:bCs/>
          <w:b/>
        </w:rPr>
        <w:t xml:space="preserve">Quotation Estimate Date:</w:t>
      </w:r>
      <w:r>
        <w:t xml:space="preserve"> </w:t>
      </w:r>
      <w:r>
        <w:t xml:space="preserve">June 15, 2025</w:t>
      </w:r>
    </w:p>
    <w:p>
      <w:pPr>
        <w:pStyle w:val="BodyText"/>
      </w:pPr>
      <w:r>
        <w:rPr>
          <w:bCs/>
          <w:b/>
        </w:rPr>
        <w:t xml:space="preserve">Validity Period:</w:t>
      </w:r>
      <w:r>
        <w:t xml:space="preserve"> </w:t>
      </w:r>
      <w:r>
        <w:t xml:space="preserve">30 calendar days from issue date</w:t>
      </w:r>
    </w:p>
    <w:p>
      <w:pPr>
        <w:pStyle w:val="BodyText"/>
      </w:pPr>
      <w:r>
        <w:rPr>
          <w:bCs/>
          <w:b/>
        </w:rPr>
        <w:t xml:space="preserve">Project Location:</w:t>
      </w:r>
      <w:r>
        <w:t xml:space="preserve"> </w:t>
      </w:r>
      <w:r>
        <w:t xml:space="preserve">Brazil São Paulo – Metropolitan Region</w:t>
      </w:r>
    </w:p>
    <w:p>
      <w:pPr>
        <w:pStyle w:val="BodyText"/>
      </w:pPr>
      <w:r>
        <w:rPr>
          <w:bCs/>
          <w:b/>
        </w:rPr>
        <w:t xml:space="preserve">Estimated Start Date:</w:t>
      </w:r>
      <w:r>
        <w:t xml:space="preserve"> </w:t>
      </w:r>
      <w:r>
        <w:t xml:space="preserve">July 1, 2025</w:t>
      </w:r>
    </w:p>
    <w:p>
      <w:pPr>
        <w:pStyle w:val="BodyText"/>
      </w:pPr>
      <w:r>
        <w:rPr>
          <w:bCs/>
          <w:b/>
        </w:rPr>
        <w:t xml:space="preserve">Estimated Completion:</w:t>
      </w:r>
      <w:r>
        <w:t xml:space="preserve"> </w:t>
      </w:r>
      <w:r>
        <w:t xml:space="preserve">August 20, 2025</w:t>
      </w:r>
    </w:p>
    <w:bookmarkStart w:id="23" w:name="scope-of-mason-work"/>
    <w:p>
      <w:pPr>
        <w:pStyle w:val="Heading2"/>
      </w:pPr>
      <w:r>
        <w:t xml:space="preserve">1. Scope of Mason Work</w:t>
      </w:r>
    </w:p>
    <w:p>
      <w:pPr>
        <w:pStyle w:val="FirstParagraph"/>
      </w:pPr>
      <w:r>
        <w:t xml:space="preserve">This</w:t>
      </w:r>
      <w:r>
        <w:t xml:space="preserve"> </w:t>
      </w:r>
      <w:r>
        <w:t xml:space="preserve">Quotation Estimate</w:t>
      </w:r>
      <w:r>
        <w:t xml:space="preserve"> </w:t>
      </w:r>
      <w:r>
        <w:t xml:space="preserve">is issued by Construtora Alvenaria Paulista Ltda. to provide a comprehensive and itemized cost breakdown for professional</w:t>
      </w:r>
      <w:r>
        <w:t xml:space="preserve"> </w:t>
      </w:r>
      <w:r>
        <w:t xml:space="preserve">Mason</w:t>
      </w:r>
      <w:r>
        <w:t xml:space="preserve"> </w:t>
      </w:r>
      <w:r>
        <w:t xml:space="preserve">services to be executed at the client's property located in</w:t>
      </w:r>
      <w:r>
        <w:t xml:space="preserve"> </w:t>
      </w:r>
      <w:r>
        <w:t xml:space="preserve">Brazil São Paulo</w:t>
      </w:r>
      <w:r>
        <w:t xml:space="preserve">. The scope of work encompasses all masonry activities required for the construction and finishing of structural and non-structural walls, including but not limited to the following tasks:</w:t>
      </w:r>
    </w:p>
    <w:p>
      <w:pPr>
        <w:numPr>
          <w:ilvl w:val="0"/>
          <w:numId w:val="1001"/>
        </w:numPr>
        <w:pStyle w:val="Compact"/>
      </w:pPr>
      <w:r>
        <w:t xml:space="preserve">Construction of load-bearing walls using 9x19x19 cm ceramic blocks (tijolo cerâmico) with standard Portland cement mortar (1:5 ratio).</w:t>
      </w:r>
    </w:p>
    <w:p>
      <w:pPr>
        <w:numPr>
          <w:ilvl w:val="0"/>
          <w:numId w:val="1001"/>
        </w:numPr>
        <w:pStyle w:val="Compact"/>
      </w:pPr>
      <w:r>
        <w:t xml:space="preserve">Installation of non-load-bearing partition walls using 5x10x20 cm lightweight blocks for interior room divisions.</w:t>
      </w:r>
    </w:p>
    <w:p>
      <w:pPr>
        <w:numPr>
          <w:ilvl w:val="0"/>
          <w:numId w:val="1001"/>
        </w:numPr>
        <w:pStyle w:val="Compact"/>
      </w:pPr>
      <w:r>
        <w:t xml:space="preserve">Application of cement plaster (reboco) on both faces of all masonry walls, with a minimum thickness of 15 mm per face.</w:t>
      </w:r>
    </w:p>
    <w:p>
      <w:pPr>
        <w:numPr>
          <w:ilvl w:val="0"/>
          <w:numId w:val="1001"/>
        </w:numPr>
        <w:pStyle w:val="Compact"/>
      </w:pPr>
      <w:r>
        <w:t xml:space="preserve">Construction of lintels (vigotas) above all door and window openings, reinforced with steel bars per ABNT NBR 6118 standards.</w:t>
      </w:r>
    </w:p>
    <w:p>
      <w:pPr>
        <w:numPr>
          <w:ilvl w:val="0"/>
          <w:numId w:val="1001"/>
        </w:numPr>
        <w:pStyle w:val="Compact"/>
      </w:pPr>
      <w:r>
        <w:t xml:space="preserve">Installation of structural columns (pilares) at corners and every 3.0 meters along wall runs, with proper rebar cage and concrete fill (C25).</w:t>
      </w:r>
    </w:p>
    <w:p>
      <w:pPr>
        <w:numPr>
          <w:ilvl w:val="0"/>
          <w:numId w:val="1001"/>
        </w:numPr>
        <w:pStyle w:val="Compact"/>
      </w:pPr>
      <w:r>
        <w:t xml:space="preserve">Construction of a perimeter foundation wall (sapata) at ground level, 60 cm in height, using 14x19x29 cm solid blocks.</w:t>
      </w:r>
    </w:p>
    <w:p>
      <w:pPr>
        <w:numPr>
          <w:ilvl w:val="0"/>
          <w:numId w:val="1001"/>
        </w:numPr>
        <w:pStyle w:val="Compact"/>
      </w:pPr>
      <w:r>
        <w:t xml:space="preserve">Application of waterproofing membrane on all exterior masonry surfaces facing the street and adjacent properties.</w:t>
      </w:r>
    </w:p>
    <w:p>
      <w:pPr>
        <w:numPr>
          <w:ilvl w:val="0"/>
          <w:numId w:val="1001"/>
        </w:numPr>
        <w:pStyle w:val="Compact"/>
      </w:pPr>
      <w:r>
        <w:t xml:space="preserve">Final finishing: sanding, cleaning, and preparation of all masonry surfaces for subsequent painting or tile installation.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Load-bearing wall construction – ceramic block masonry with cement mortar</w:t>
            </w:r>
          </w:p>
        </w:tc>
        <w:tc>
          <w:tcPr/>
          <w:p>
            <w:pPr>
              <w:pStyle w:val="Compact"/>
              <w:jc w:val="left"/>
            </w:pPr>
            <w:r>
              <w:t xml:space="preserve">185.0</w:t>
            </w:r>
          </w:p>
        </w:tc>
        <w:tc>
          <w:tcPr/>
          <w:p>
            <w:pPr>
              <w:pStyle w:val="Compact"/>
              <w:jc w:val="left"/>
            </w:pPr>
            <w:r>
              <w:t xml:space="preserve">m²</w:t>
            </w:r>
          </w:p>
        </w:tc>
        <w:tc>
          <w:tcPr/>
          <w:p>
            <w:pPr>
              <w:pStyle w:val="Compact"/>
              <w:jc w:val="left"/>
            </w:pPr>
            <w:r>
              <w:t xml:space="preserve">R$ 142,50</w:t>
            </w:r>
          </w:p>
        </w:tc>
        <w:tc>
          <w:tcPr/>
          <w:p>
            <w:pPr>
              <w:pStyle w:val="Compact"/>
              <w:jc w:val="left"/>
            </w:pPr>
            <w:r>
              <w:t xml:space="preserve">R$ 26,362.50</w:t>
            </w:r>
          </w:p>
        </w:tc>
      </w:tr>
      <w:tr>
        <w:tc>
          <w:tcPr/>
          <w:p>
            <w:pPr>
              <w:pStyle w:val="Compact"/>
              <w:jc w:val="left"/>
            </w:pPr>
            <w:r>
              <w:t xml:space="preserve">02</w:t>
            </w:r>
          </w:p>
        </w:tc>
        <w:tc>
          <w:tcPr/>
          <w:p>
            <w:pPr>
              <w:pStyle w:val="Compact"/>
              <w:jc w:val="left"/>
            </w:pPr>
            <w:r>
              <w:t xml:space="preserve">Interior partition wall – lightweight block masonry</w:t>
            </w:r>
          </w:p>
        </w:tc>
        <w:tc>
          <w:tcPr/>
          <w:p>
            <w:pPr>
              <w:pStyle w:val="Compact"/>
              <w:jc w:val="left"/>
            </w:pPr>
            <w:r>
              <w:t xml:space="preserve">92.0</w:t>
            </w:r>
          </w:p>
        </w:tc>
        <w:tc>
          <w:tcPr/>
          <w:p>
            <w:pPr>
              <w:pStyle w:val="Compact"/>
              <w:jc w:val="left"/>
            </w:pPr>
            <w:r>
              <w:t xml:space="preserve">m²</w:t>
            </w:r>
          </w:p>
        </w:tc>
        <w:tc>
          <w:tcPr/>
          <w:p>
            <w:pPr>
              <w:pStyle w:val="Compact"/>
              <w:jc w:val="left"/>
            </w:pPr>
            <w:r>
              <w:t xml:space="preserve">R$ 98,00</w:t>
            </w:r>
          </w:p>
        </w:tc>
        <w:tc>
          <w:tcPr/>
          <w:p>
            <w:pPr>
              <w:pStyle w:val="Compact"/>
              <w:jc w:val="left"/>
            </w:pPr>
            <w:r>
              <w:t xml:space="preserve">R$ 9,016.00</w:t>
            </w:r>
          </w:p>
        </w:tc>
      </w:tr>
      <w:tr>
        <w:tc>
          <w:tcPr/>
          <w:p>
            <w:pPr>
              <w:pStyle w:val="Compact"/>
              <w:jc w:val="left"/>
            </w:pPr>
            <w:r>
              <w:t xml:space="preserve">03</w:t>
            </w:r>
          </w:p>
        </w:tc>
        <w:tc>
          <w:tcPr/>
          <w:p>
            <w:pPr>
              <w:pStyle w:val="Compact"/>
              <w:jc w:val="left"/>
            </w:pPr>
            <w:r>
              <w:t xml:space="preserve">Cement plaster application (both faces, 15 mm)</w:t>
            </w:r>
          </w:p>
        </w:tc>
        <w:tc>
          <w:tcPr/>
          <w:p>
            <w:pPr>
              <w:pStyle w:val="Compact"/>
              <w:jc w:val="left"/>
            </w:pPr>
            <w:r>
              <w:t xml:space="preserve">554.0</w:t>
            </w:r>
          </w:p>
        </w:tc>
        <w:tc>
          <w:tcPr/>
          <w:p>
            <w:pPr>
              <w:pStyle w:val="Compact"/>
              <w:jc w:val="left"/>
            </w:pPr>
            <w:r>
              <w:t xml:space="preserve">m²</w:t>
            </w:r>
          </w:p>
        </w:tc>
        <w:tc>
          <w:tcPr/>
          <w:p>
            <w:pPr>
              <w:pStyle w:val="Compact"/>
              <w:jc w:val="left"/>
            </w:pPr>
            <w:r>
              <w:t xml:space="preserve">R$ 52,00</w:t>
            </w:r>
          </w:p>
        </w:tc>
        <w:tc>
          <w:tcPr/>
          <w:p>
            <w:pPr>
              <w:pStyle w:val="Compact"/>
              <w:jc w:val="left"/>
            </w:pPr>
            <w:r>
              <w:t xml:space="preserve">R$ 28,808.00</w:t>
            </w:r>
          </w:p>
        </w:tc>
      </w:tr>
      <w:tr>
        <w:tc>
          <w:tcPr/>
          <w:p>
            <w:pPr>
              <w:pStyle w:val="Compact"/>
              <w:jc w:val="left"/>
            </w:pPr>
            <w:r>
              <w:t xml:space="preserve">04</w:t>
            </w:r>
          </w:p>
        </w:tc>
        <w:tc>
          <w:tcPr/>
          <w:p>
            <w:pPr>
              <w:pStyle w:val="Compact"/>
              <w:jc w:val="left"/>
            </w:pPr>
            <w:r>
              <w:t xml:space="preserve">Reinforced concrete lintels (vigotas) – supply and installation</w:t>
            </w:r>
          </w:p>
        </w:tc>
        <w:tc>
          <w:tcPr/>
          <w:p>
            <w:pPr>
              <w:pStyle w:val="Compact"/>
              <w:jc w:val="left"/>
            </w:pPr>
            <w:r>
              <w:t xml:space="preserve">14</w:t>
            </w:r>
          </w:p>
        </w:tc>
        <w:tc>
          <w:tcPr/>
          <w:p>
            <w:pPr>
              <w:pStyle w:val="Compact"/>
              <w:jc w:val="left"/>
            </w:pPr>
            <w:r>
              <w:t xml:space="preserve">un</w:t>
            </w:r>
          </w:p>
        </w:tc>
        <w:tc>
          <w:tcPr/>
          <w:p>
            <w:pPr>
              <w:pStyle w:val="Compact"/>
              <w:jc w:val="left"/>
            </w:pPr>
            <w:r>
              <w:t xml:space="preserve">R$ 385,00</w:t>
            </w:r>
          </w:p>
        </w:tc>
        <w:tc>
          <w:tcPr/>
          <w:p>
            <w:pPr>
              <w:pStyle w:val="Compact"/>
              <w:jc w:val="left"/>
            </w:pPr>
            <w:r>
              <w:t xml:space="preserve">R$ 5,390.00</w:t>
            </w:r>
          </w:p>
        </w:tc>
      </w:tr>
      <w:tr>
        <w:tc>
          <w:tcPr/>
          <w:p>
            <w:pPr>
              <w:pStyle w:val="Compact"/>
              <w:jc w:val="left"/>
            </w:pPr>
            <w:r>
              <w:t xml:space="preserve">05</w:t>
            </w:r>
          </w:p>
        </w:tc>
        <w:tc>
          <w:tcPr/>
          <w:p>
            <w:pPr>
              <w:pStyle w:val="Compact"/>
              <w:jc w:val="left"/>
            </w:pPr>
            <w:r>
              <w:t xml:space="preserve">Structural columns with rebar cage and C25 concrete fill</w:t>
            </w:r>
          </w:p>
        </w:tc>
        <w:tc>
          <w:tcPr/>
          <w:p>
            <w:pPr>
              <w:pStyle w:val="Compact"/>
              <w:jc w:val="left"/>
            </w:pPr>
            <w:r>
              <w:t xml:space="preserve">8</w:t>
            </w:r>
          </w:p>
        </w:tc>
        <w:tc>
          <w:tcPr/>
          <w:p>
            <w:pPr>
              <w:pStyle w:val="Compact"/>
              <w:jc w:val="left"/>
            </w:pPr>
            <w:r>
              <w:t xml:space="preserve">un</w:t>
            </w:r>
          </w:p>
        </w:tc>
        <w:tc>
          <w:tcPr/>
          <w:p>
            <w:pPr>
              <w:pStyle w:val="Compact"/>
              <w:jc w:val="left"/>
            </w:pPr>
            <w:r>
              <w:t xml:space="preserve">R$ 1,250,00</w:t>
            </w:r>
          </w:p>
        </w:tc>
        <w:tc>
          <w:tcPr/>
          <w:p>
            <w:pPr>
              <w:pStyle w:val="Compact"/>
              <w:jc w:val="left"/>
            </w:pPr>
            <w:r>
              <w:t xml:space="preserve">R$ 10,000.00</w:t>
            </w:r>
          </w:p>
        </w:tc>
      </w:tr>
      <w:tr>
        <w:tc>
          <w:tcPr/>
          <w:p>
            <w:pPr>
              <w:pStyle w:val="Compact"/>
              <w:jc w:val="left"/>
            </w:pPr>
            <w:r>
              <w:t xml:space="preserve">06</w:t>
            </w:r>
          </w:p>
        </w:tc>
        <w:tc>
          <w:tcPr/>
          <w:p>
            <w:pPr>
              <w:pStyle w:val="Compact"/>
              <w:jc w:val="left"/>
            </w:pPr>
            <w:r>
              <w:t xml:space="preserve">Perimeter foundation wall (sapata) – solid block masonry</w:t>
            </w:r>
          </w:p>
        </w:tc>
        <w:tc>
          <w:tcPr/>
          <w:p>
            <w:pPr>
              <w:pStyle w:val="Compact"/>
              <w:jc w:val="left"/>
            </w:pPr>
            <w:r>
              <w:t xml:space="preserve">46.0</w:t>
            </w:r>
          </w:p>
        </w:tc>
        <w:tc>
          <w:tcPr/>
          <w:p>
            <w:pPr>
              <w:pStyle w:val="Compact"/>
              <w:jc w:val="left"/>
            </w:pPr>
            <w:r>
              <w:t xml:space="preserve">m²</w:t>
            </w:r>
          </w:p>
        </w:tc>
        <w:tc>
          <w:tcPr/>
          <w:p>
            <w:pPr>
              <w:pStyle w:val="Compact"/>
              <w:jc w:val="left"/>
            </w:pPr>
            <w:r>
              <w:t xml:space="preserve">R$ 168,00</w:t>
            </w:r>
          </w:p>
        </w:tc>
        <w:tc>
          <w:tcPr/>
          <w:p>
            <w:pPr>
              <w:pStyle w:val="Compact"/>
              <w:jc w:val="left"/>
            </w:pPr>
            <w:r>
              <w:t xml:space="preserve">R$ 7,728.00</w:t>
            </w:r>
          </w:p>
        </w:tc>
      </w:tr>
      <w:tr>
        <w:tc>
          <w:tcPr/>
          <w:p>
            <w:pPr>
              <w:pStyle w:val="Compact"/>
              <w:jc w:val="left"/>
            </w:pPr>
            <w:r>
              <w:t xml:space="preserve">07</w:t>
            </w:r>
          </w:p>
        </w:tc>
        <w:tc>
          <w:tcPr/>
          <w:p>
            <w:pPr>
              <w:pStyle w:val="Compact"/>
              <w:jc w:val="left"/>
            </w:pPr>
            <w:r>
              <w:t xml:space="preserve">Exterior waterproofing membrane application on masonry</w:t>
            </w:r>
          </w:p>
        </w:tc>
        <w:tc>
          <w:tcPr/>
          <w:p>
            <w:pPr>
              <w:pStyle w:val="Compact"/>
              <w:jc w:val="left"/>
            </w:pPr>
            <w:r>
              <w:t xml:space="preserve">120.0</w:t>
            </w:r>
          </w:p>
        </w:tc>
        <w:tc>
          <w:tcPr/>
          <w:p>
            <w:pPr>
              <w:pStyle w:val="Compact"/>
              <w:jc w:val="left"/>
            </w:pPr>
            <w:r>
              <w:t xml:space="preserve">m²</w:t>
            </w:r>
          </w:p>
        </w:tc>
        <w:tc>
          <w:tcPr/>
          <w:p>
            <w:pPr>
              <w:pStyle w:val="Compact"/>
              <w:jc w:val="left"/>
            </w:pPr>
            <w:r>
              <w:t xml:space="preserve">R$ 74,00</w:t>
            </w:r>
          </w:p>
        </w:tc>
        <w:tc>
          <w:tcPr/>
          <w:p>
            <w:pPr>
              <w:pStyle w:val="Compact"/>
              <w:jc w:val="left"/>
            </w:pPr>
            <w:r>
              <w:t xml:space="preserve">R$ 8,880.00</w:t>
            </w:r>
          </w:p>
        </w:tc>
      </w:tr>
      <w:tr>
        <w:tc>
          <w:tcPr/>
          <w:p>
            <w:pPr>
              <w:pStyle w:val="Compact"/>
              <w:jc w:val="left"/>
            </w:pPr>
            <w:r>
              <w:t xml:space="preserve">08</w:t>
            </w:r>
          </w:p>
        </w:tc>
        <w:tc>
          <w:tcPr/>
          <w:p>
            <w:pPr>
              <w:pStyle w:val="Compact"/>
              <w:jc w:val="left"/>
            </w:pPr>
            <w:r>
              <w:t xml:space="preserve">Final sanding, cleaning, and surface preparation</w:t>
            </w:r>
          </w:p>
        </w:tc>
        <w:tc>
          <w:tcPr/>
          <w:p>
            <w:pPr>
              <w:pStyle w:val="Compact"/>
              <w:jc w:val="left"/>
            </w:pPr>
            <w:r>
              <w:t xml:space="preserve">554.0</w:t>
            </w:r>
          </w:p>
        </w:tc>
        <w:tc>
          <w:tcPr/>
          <w:p>
            <w:pPr>
              <w:pStyle w:val="Compact"/>
              <w:jc w:val="left"/>
            </w:pPr>
            <w:r>
              <w:t xml:space="preserve">m²</w:t>
            </w:r>
          </w:p>
        </w:tc>
        <w:tc>
          <w:tcPr/>
          <w:p>
            <w:pPr>
              <w:pStyle w:val="Compact"/>
              <w:jc w:val="left"/>
            </w:pPr>
            <w:r>
              <w:t xml:space="preserve">R$ 18,00</w:t>
            </w:r>
          </w:p>
        </w:tc>
        <w:tc>
          <w:tcPr/>
          <w:p>
            <w:pPr>
              <w:pStyle w:val="Compact"/>
              <w:jc w:val="left"/>
            </w:pPr>
            <w:r>
              <w:t xml:space="preserve">R$ 9,972.00</w:t>
            </w:r>
          </w:p>
        </w:tc>
      </w:tr>
      <w:tr>
        <w:tc>
          <w:tcPr/>
          <w:p>
            <w:pPr>
              <w:pStyle w:val="Compact"/>
              <w:jc w:val="left"/>
            </w:pPr>
            <w:r>
              <w:t xml:space="preserve">09</w:t>
            </w:r>
          </w:p>
        </w:tc>
        <w:tc>
          <w:tcPr/>
          <w:p>
            <w:pPr>
              <w:pStyle w:val="Compact"/>
              <w:jc w:val="left"/>
            </w:pPr>
            <w:r>
              <w:t xml:space="preserve">Site mobilization, scaffolding, and waste removal (São Paulo municipal regulations)</w:t>
            </w:r>
          </w:p>
        </w:tc>
        <w:tc>
          <w:tcPr/>
          <w:p>
            <w:pPr>
              <w:pStyle w:val="Compact"/>
              <w:jc w:val="left"/>
            </w:pPr>
            <w:r>
              <w:t xml:space="preserve">1</w:t>
            </w:r>
          </w:p>
        </w:tc>
        <w:tc>
          <w:tcPr/>
          <w:p>
            <w:pPr>
              <w:pStyle w:val="Compact"/>
              <w:jc w:val="left"/>
            </w:pPr>
            <w:r>
              <w:t xml:space="preserve">lote</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10</w:t>
            </w:r>
          </w:p>
        </w:tc>
        <w:tc>
          <w:tcPr/>
          <w:p>
            <w:pPr>
              <w:pStyle w:val="Compact"/>
              <w:jc w:val="left"/>
            </w:pPr>
            <w:r>
              <w:t xml:space="preserve">Project supervision by certified Mason engineer (daily on-site presence)</w:t>
            </w:r>
          </w:p>
        </w:tc>
        <w:tc>
          <w:tcPr/>
          <w:p>
            <w:pPr>
              <w:pStyle w:val="Compact"/>
              <w:jc w:val="left"/>
            </w:pPr>
            <w:r>
              <w:t xml:space="preserve">50</w:t>
            </w:r>
          </w:p>
        </w:tc>
        <w:tc>
          <w:tcPr/>
          <w:p>
            <w:pPr>
              <w:pStyle w:val="Compact"/>
              <w:jc w:val="left"/>
            </w:pPr>
            <w:r>
              <w:t xml:space="preserve">days</w:t>
            </w:r>
          </w:p>
        </w:tc>
        <w:tc>
          <w:tcPr/>
          <w:p>
            <w:pPr>
              <w:pStyle w:val="Compact"/>
              <w:jc w:val="left"/>
            </w:pPr>
            <w:r>
              <w:t xml:space="preserve">R$ 320,00</w:t>
            </w:r>
          </w:p>
        </w:tc>
        <w:tc>
          <w:tcPr/>
          <w:p>
            <w:pPr>
              <w:pStyle w:val="Compact"/>
              <w:jc w:val="left"/>
            </w:pPr>
            <w:r>
              <w:t xml:space="preserve">R$ 16,000.00</w:t>
            </w:r>
          </w:p>
        </w:tc>
      </w:tr>
      <w:tr>
        <w:tc>
          <w:tcPr>
            <w:gridSpan w:val="5"/>
          </w:tcPr>
          <w:p>
            <w:pPr>
              <w:pStyle w:val="Compact"/>
              <w:jc w:val="right"/>
            </w:pPr>
            <w:r>
              <w:t xml:space="preserve">SUBTOTAL</w:t>
            </w:r>
          </w:p>
        </w:tc>
        <w:tc>
          <w:tcPr/>
          <w:p>
            <w:pPr>
              <w:pStyle w:val="Compact"/>
              <w:jc w:val="left"/>
            </w:pPr>
            <w:r>
              <w:t xml:space="preserve">R$ 126,656.50</w:t>
            </w:r>
          </w:p>
        </w:tc>
      </w:tr>
      <w:tr>
        <w:tc>
          <w:tcPr>
            <w:gridSpan w:val="5"/>
          </w:tcPr>
          <w:p>
            <w:pPr>
              <w:pStyle w:val="Compact"/>
              <w:jc w:val="right"/>
            </w:pPr>
            <w:r>
              <w:t xml:space="preserve">ICMS (18% – São Paulo State Tax)</w:t>
            </w:r>
          </w:p>
        </w:tc>
        <w:tc>
          <w:tcPr/>
          <w:p>
            <w:pPr>
              <w:pStyle w:val="Compact"/>
              <w:jc w:val="left"/>
            </w:pPr>
            <w:r>
              <w:t xml:space="preserve">R$ 22,798.17</w:t>
            </w:r>
          </w:p>
        </w:tc>
      </w:tr>
      <w:tr>
        <w:tc>
          <w:tcPr>
            <w:gridSpan w:val="5"/>
          </w:tcPr>
          <w:p>
            <w:pPr>
              <w:pStyle w:val="Compact"/>
              <w:jc w:val="right"/>
            </w:pPr>
            <w:r>
              <w:rPr>
                <w:bCs/>
                <w:b/>
              </w:rPr>
              <w:t xml:space="preserve">GRAND TOTAL (Quotation Estimate)</w:t>
            </w:r>
          </w:p>
        </w:tc>
        <w:tc>
          <w:tcPr/>
          <w:p>
            <w:pPr>
              <w:pStyle w:val="Compact"/>
              <w:jc w:val="left"/>
            </w:pPr>
            <w:r>
              <w:rPr>
                <w:bCs/>
                <w:b/>
              </w:rPr>
              <w:t xml:space="preserve">R$ 149,454.67</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Brazil São Paulo</w:t>
      </w:r>
      <w:r>
        <w:t xml:space="preserve"> </w:t>
      </w:r>
      <w:r>
        <w:t xml:space="preserve">shall be settled according to the following schedule:</w:t>
      </w:r>
    </w:p>
    <w:p>
      <w:pPr>
        <w:numPr>
          <w:ilvl w:val="0"/>
          <w:numId w:val="1002"/>
        </w:numPr>
        <w:pStyle w:val="Compact"/>
      </w:pPr>
      <w:r>
        <w:rPr>
          <w:bCs/>
          <w:b/>
        </w:rPr>
        <w:t xml:space="preserve">30% advance payment</w:t>
      </w:r>
      <w:r>
        <w:t xml:space="preserve"> </w:t>
      </w:r>
      <w:r>
        <w:t xml:space="preserve">(R$ 44,836.40) upon signing of the service contract and prior to mobilization.</w:t>
      </w:r>
    </w:p>
    <w:p>
      <w:pPr>
        <w:numPr>
          <w:ilvl w:val="0"/>
          <w:numId w:val="1002"/>
        </w:numPr>
        <w:pStyle w:val="Compact"/>
      </w:pPr>
      <w:r>
        <w:rPr>
          <w:bCs/>
          <w:b/>
        </w:rPr>
        <w:t xml:space="preserve">40% progress payment</w:t>
      </w:r>
      <w:r>
        <w:t xml:space="preserve"> </w:t>
      </w:r>
      <w:r>
        <w:t xml:space="preserve">(R$ 59,781.87) upon completion of all structural masonry (items 01, 04, 05, and 06).</w:t>
      </w:r>
    </w:p>
    <w:p>
      <w:pPr>
        <w:numPr>
          <w:ilvl w:val="0"/>
          <w:numId w:val="1002"/>
        </w:numPr>
        <w:pStyle w:val="Compact"/>
      </w:pPr>
      <w:r>
        <w:rPr>
          <w:bCs/>
          <w:b/>
        </w:rPr>
        <w:t xml:space="preserve">30% final payment</w:t>
      </w:r>
      <w:r>
        <w:t xml:space="preserve"> </w:t>
      </w:r>
      <w:r>
        <w:t xml:space="preserve">(R$ 44,836.40) upon full completion, final inspection, and client sign-off.</w:t>
      </w:r>
    </w:p>
    <w:p>
      <w:pPr>
        <w:pStyle w:val="FirstParagraph"/>
      </w:pPr>
      <w:r>
        <w:t xml:space="preserve">Payments shall be made via bank transfer (TED/PIX) to the account details provided in the formal service contract. Late payments shall incur a monthly interest rate of 1.5% plus a 2% penalty, in accordance with Brazilian commercial law (Código Civil, Art. 412).</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30 calendar days</w:t>
      </w:r>
      <w:r>
        <w:t xml:space="preserve"> </w:t>
      </w:r>
      <w:r>
        <w:t xml:space="preserve">from the date of issue. After this period, prices may be adjusted to reflect current market conditions for masonry materials in the São Paulo metropolitan region.</w:t>
      </w:r>
    </w:p>
    <w:p>
      <w:pPr>
        <w:numPr>
          <w:ilvl w:val="0"/>
          <w:numId w:val="1003"/>
        </w:numPr>
        <w:pStyle w:val="Compact"/>
      </w:pPr>
      <w:r>
        <w:t xml:space="preserve">All</w:t>
      </w:r>
      <w:r>
        <w:t xml:space="preserve"> </w:t>
      </w:r>
      <w:r>
        <w:t xml:space="preserve">Mason</w:t>
      </w:r>
      <w:r>
        <w:t xml:space="preserve"> </w:t>
      </w:r>
      <w:r>
        <w:t xml:space="preserve">work shall be executed in strict compliance with ABNT (Associação Brasileira de Normas Técnicas) standards, São Paulo municipal building codes (Lei de Zoneamento – Lei 16.461/2016), and applicable federal regulations.</w:t>
      </w:r>
    </w:p>
    <w:p>
      <w:pPr>
        <w:numPr>
          <w:ilvl w:val="0"/>
          <w:numId w:val="1003"/>
        </w:numPr>
        <w:pStyle w:val="Compact"/>
      </w:pPr>
      <w:r>
        <w:t xml:space="preserve">The service provider shall supply all masonry materials (blocks, cement, sand, rebar, waterproofing products) unless otherwise agreed in writing. Material prices are based on current São Paulo market rates as of the quotation date.</w:t>
      </w:r>
    </w:p>
    <w:p>
      <w:pPr>
        <w:numPr>
          <w:ilvl w:val="0"/>
          <w:numId w:val="1003"/>
        </w:numPr>
        <w:pStyle w:val="Compact"/>
      </w:pPr>
      <w:r>
        <w:t xml:space="preserve">The client is responsible for obtaining all necessary building permits (alvará de construção) from the São Paulo City Hall (Prefeitura Municipal de São Paulo) prior to the commencement of any</w:t>
      </w:r>
      <w:r>
        <w:t xml:space="preserve"> </w:t>
      </w:r>
      <w:r>
        <w:t xml:space="preserve">Mason</w:t>
      </w:r>
      <w:r>
        <w:t xml:space="preserve"> </w:t>
      </w:r>
      <w:r>
        <w:t xml:space="preserve">work on site.</w:t>
      </w:r>
    </w:p>
    <w:p>
      <w:pPr>
        <w:numPr>
          <w:ilvl w:val="0"/>
          <w:numId w:val="1003"/>
        </w:numPr>
        <w:pStyle w:val="Compact"/>
      </w:pPr>
      <w:r>
        <w:t xml:space="preserve">Warranty: The service provider guarantees all masonry work for a period of</w:t>
      </w:r>
      <w:r>
        <w:t xml:space="preserve"> </w:t>
      </w:r>
      <w:r>
        <w:rPr>
          <w:bCs/>
          <w:b/>
        </w:rPr>
        <w:t xml:space="preserve">5 years</w:t>
      </w:r>
      <w:r>
        <w:t xml:space="preserve"> </w:t>
      </w:r>
      <w:r>
        <w:t xml:space="preserve">from the date of final acceptance, covering structural defects, cracking, and waterproofing failures attributable to workmanship.</w:t>
      </w:r>
    </w:p>
    <w:p>
      <w:pPr>
        <w:numPr>
          <w:ilvl w:val="0"/>
          <w:numId w:val="1003"/>
        </w:numPr>
        <w:pStyle w:val="Compact"/>
      </w:pPr>
      <w:r>
        <w:t xml:space="preserve">Any additional work not included in this</w:t>
      </w:r>
      <w:r>
        <w:t xml:space="preserve"> </w:t>
      </w:r>
      <w:r>
        <w:t xml:space="preserve">Quotation Estimate</w:t>
      </w:r>
      <w:r>
        <w:t xml:space="preserve"> </w:t>
      </w:r>
      <w:r>
        <w:t xml:space="preserve">shall be subject to a separate written addendum and additional cost approval by the client before execution.</w:t>
      </w:r>
    </w:p>
    <w:p>
      <w:pPr>
        <w:numPr>
          <w:ilvl w:val="0"/>
          <w:numId w:val="1003"/>
        </w:numPr>
        <w:pStyle w:val="Compact"/>
      </w:pPr>
      <w:r>
        <w:t xml:space="preserve">Work hours: Monday through Friday, 07:00 to 17:00, in compliance with São Paulo municipal noise and construction regulations. Saturday work (07:00 to 12:00) may be scheduled with prior written consent.</w:t>
      </w:r>
    </w:p>
    <w:p>
      <w:pPr>
        <w:numPr>
          <w:ilvl w:val="0"/>
          <w:numId w:val="1003"/>
        </w:numPr>
        <w:pStyle w:val="Compact"/>
      </w:pPr>
      <w:r>
        <w:t xml:space="preserve">In the event of force majeure (severe weather, municipal road closures, supply chain disruptions), the project timeline shall be extended proportionally without penalty to either party.</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the formal service agreement (Contrato de Prestação de Serviços).</w:t>
      </w:r>
    </w:p>
    <w:p>
      <w:pPr>
        <w:pStyle w:val="FirstParagraph"/>
      </w:pPr>
      <w:r>
        <w:rPr>
          <w:bCs/>
          <w:b/>
        </w:rPr>
        <w:t xml:space="preserve">Important Note:</w:t>
      </w:r>
      <w:r>
        <w:t xml:space="preserve"> </w:t>
      </w:r>
      <w:r>
        <w:t xml:space="preserve">All prices in this Quotation Estimate are expressed in Brazilian Reais (BRL – R$) and include the cost of labor, materials, equipment, and site supervision for the Mason work described. Prices do not include any municipal fees, environmental licensing, or architectural/engineering design services, which are the sole responsibility of the client. This estimate is specific to the project location in Brazil São Paulo and reflects local material availability, labor rates, and regulatory requirements.</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conditions, and cost figures presented in this</w:t>
      </w:r>
      <w:r>
        <w:t xml:space="preserve"> </w:t>
      </w:r>
      <w:r>
        <w:t xml:space="preserve">Quotation Estimate</w:t>
      </w:r>
      <w:r>
        <w:t xml:space="preserve"> </w:t>
      </w:r>
      <w:r>
        <w:t xml:space="preserve">for</w:t>
      </w:r>
      <w:r>
        <w:t xml:space="preserve"> </w:t>
      </w:r>
      <w:r>
        <w:t xml:space="preserve">Mason</w:t>
      </w:r>
      <w:r>
        <w:t xml:space="preserve"> </w:t>
      </w:r>
      <w:r>
        <w:t xml:space="preserve">services to be performed in</w:t>
      </w:r>
      <w:r>
        <w:t xml:space="preserve"> </w:t>
      </w:r>
      <w:r>
        <w:t xml:space="preserve">Brazil São Paulo</w:t>
      </w:r>
      <w:r>
        <w:t xml:space="preserve">.</w:t>
      </w:r>
    </w:p>
    <w:p>
      <w:pPr>
        <w:pStyle w:val="BodyText"/>
      </w:pPr>
      <w:r>
        <w:rPr>
          <w:bCs/>
          <w:b/>
        </w:rPr>
        <w:t xml:space="preserve">Construtora Alvenaria Paulista Ltda.</w:t>
      </w:r>
      <w:r>
        <w:br/>
      </w:r>
      <w:r>
        <w:t xml:space="preserve">Eng. Carlos Eduardo Ferreira – Mason Lead</w:t>
      </w:r>
      <w:r>
        <w:br/>
      </w:r>
      <w:r>
        <w:t xml:space="preserve">CNPJ: 12.345.678/0001-90</w:t>
      </w:r>
      <w:r>
        <w:br/>
      </w:r>
      <w:r>
        <w:t xml:space="preserve">Date: _______________</w:t>
      </w:r>
    </w:p>
    <w:p>
      <w:pPr>
        <w:pStyle w:val="BodyText"/>
      </w:pPr>
      <w:r>
        <w:rPr>
          <w:bCs/>
          <w:b/>
        </w:rPr>
        <w:t xml:space="preserve">Client</w:t>
      </w:r>
      <w:r>
        <w:br/>
      </w:r>
      <w:r>
        <w:t xml:space="preserve">[Full Name]</w:t>
      </w:r>
      <w:r>
        <w:br/>
      </w:r>
      <w:r>
        <w:t xml:space="preserve">CPF/CNPJ: _______________</w:t>
      </w:r>
      <w:r>
        <w:br/>
      </w:r>
      <w:r>
        <w:t xml:space="preserve">Date: _______________</w:t>
      </w:r>
    </w:p>
    <w:p>
      <w:pPr>
        <w:pStyle w:val="BodyText"/>
      </w:pPr>
      <w:r>
        <w:t xml:space="preserve">Quotation Estimate QE-SP-2025-04782 | Mason Services | Brazil São Paulo | Page 1 of 1</w:t>
      </w:r>
    </w:p>
    <w:p>
      <w:pPr>
        <w:pStyle w:val="BodyText"/>
      </w:pPr>
      <w:r>
        <w:t xml:space="preserve">Construtora Alvenaria Paulista Ltda. – Av. Paulista, 1500 – Bela Vista, São Paulo, SP – CEP 01310-100 – Brazil</w:t>
      </w:r>
    </w:p>
    <w:p>
      <w:pPr>
        <w:pStyle w:val="BodyText"/>
      </w:pPr>
      <w:r>
        <w:t xml:space="preserve">This document is generated electronically and is valid without a physical stamp. For verification, contact estimativa@alvenariapaulista.com.br.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Brazil São Paulo</dc:title>
  <dc:creator/>
  <dc:language>en</dc:language>
  <cp:keywords/>
  <dcterms:created xsi:type="dcterms:W3CDTF">2026-10-10T02:01:45Z</dcterms:created>
  <dcterms:modified xsi:type="dcterms:W3CDTF">2026-10-10T02:01:45Z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