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Mason Services — China Shanghai</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QTE-SH-2025-0487</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Prepared By:</w:t>
            </w:r>
          </w:p>
        </w:tc>
        <w:tc>
          <w:tcPr/>
          <w:p>
            <w:pPr>
              <w:pStyle w:val="Compact"/>
              <w:jc w:val="left"/>
            </w:pPr>
            <w:r>
              <w:t xml:space="preserve">Shanghai Mason Construction Co., Ltd.</w:t>
            </w:r>
          </w:p>
        </w:tc>
        <w:tc>
          <w:tcPr/>
          <w:p>
            <w:pPr>
              <w:pStyle w:val="Compact"/>
              <w:jc w:val="left"/>
            </w:pPr>
            <w:r>
              <w:t xml:space="preserve">Project Location:</w:t>
            </w:r>
          </w:p>
        </w:tc>
        <w:tc>
          <w:tcPr/>
          <w:p>
            <w:pPr>
              <w:pStyle w:val="Compact"/>
              <w:jc w:val="left"/>
            </w:pPr>
            <w:r>
              <w:t xml:space="preserve">Pudong New Area, China Shanghai</w:t>
            </w:r>
          </w:p>
        </w:tc>
      </w:tr>
      <w:tr>
        <w:tc>
          <w:tcPr/>
          <w:p>
            <w:pPr>
              <w:pStyle w:val="Compact"/>
              <w:jc w:val="left"/>
            </w:pPr>
            <w:r>
              <w:t xml:space="preserve">Client Name:</w:t>
            </w:r>
          </w:p>
        </w:tc>
        <w:tc>
          <w:tcPr/>
          <w:p>
            <w:pPr>
              <w:pStyle w:val="Compact"/>
              <w:jc w:val="left"/>
            </w:pPr>
            <w:r>
              <w:t xml:space="preserve">Shanghai Riverside Development Group</w:t>
            </w:r>
          </w:p>
        </w:tc>
        <w:tc>
          <w:tcPr/>
          <w:p>
            <w:pPr>
              <w:pStyle w:val="Compact"/>
              <w:jc w:val="left"/>
            </w:pPr>
            <w:r>
              <w:t xml:space="preserve">Contact Person:</w:t>
            </w:r>
          </w:p>
        </w:tc>
        <w:tc>
          <w:tcPr/>
          <w:p>
            <w:pPr>
              <w:pStyle w:val="Compact"/>
              <w:jc w:val="left"/>
            </w:pPr>
            <w:r>
              <w:t xml:space="preserve">Mr. Wei Zhang, Project Director</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issued by Shanghai Mason Construction Co., Ltd. to provide a comprehensive and itemized cost breakdown for professional</w:t>
      </w:r>
      <w:r>
        <w:t xml:space="preserve"> </w:t>
      </w:r>
      <w:r>
        <w:t xml:space="preserve">Mason</w:t>
      </w:r>
      <w:r>
        <w:t xml:space="preserve"> </w:t>
      </w:r>
      <w:r>
        <w:t xml:space="preserve">services to be executed at the designated project site located in</w:t>
      </w:r>
      <w:r>
        <w:t xml:space="preserve"> </w:t>
      </w:r>
      <w:r>
        <w:t xml:space="preserve">China Shanghai</w:t>
      </w:r>
      <w:r>
        <w:t xml:space="preserve">, specifically within the Pudong New Area district. The scope of work encompasses all masonry-related construction activities including but not limited to bricklaying, blockwork, stone setting, mortar application, and structural masonry repairs. This document serves as the definitive financial proposal and shall remain valid for the period stated above, after which all pricing may be subject to revision based on prevailing material costs and labor market conditions in the Shanghai metropolitan region.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Structural bricklaying (red clay bricks, 240mm x 115mm x 53mm) for load-bearing walls</w:t>
            </w:r>
          </w:p>
        </w:tc>
        <w:tc>
          <w:tcPr/>
          <w:p>
            <w:pPr>
              <w:pStyle w:val="Compact"/>
              <w:jc w:val="left"/>
            </w:pPr>
            <w:r>
              <w:t xml:space="preserve">m²</w:t>
            </w:r>
          </w:p>
        </w:tc>
        <w:tc>
          <w:tcPr/>
          <w:p>
            <w:pPr>
              <w:pStyle w:val="Compact"/>
              <w:jc w:val="left"/>
            </w:pPr>
            <w:r>
              <w:t xml:space="preserve">1,250</w:t>
            </w:r>
          </w:p>
        </w:tc>
        <w:tc>
          <w:tcPr/>
          <w:p>
            <w:pPr>
              <w:pStyle w:val="Compact"/>
              <w:jc w:val="left"/>
            </w:pPr>
            <w:r>
              <w:t xml:space="preserve">185.00</w:t>
            </w:r>
          </w:p>
        </w:tc>
        <w:tc>
          <w:tcPr/>
          <w:p>
            <w:pPr>
              <w:pStyle w:val="Compact"/>
              <w:jc w:val="left"/>
            </w:pPr>
            <w:r>
              <w:t xml:space="preserve">231,250.00</w:t>
            </w:r>
          </w:p>
        </w:tc>
      </w:tr>
      <w:tr>
        <w:tc>
          <w:tcPr/>
          <w:p>
            <w:pPr>
              <w:pStyle w:val="Compact"/>
              <w:jc w:val="left"/>
            </w:pPr>
            <w:r>
              <w:t xml:space="preserve">02</w:t>
            </w:r>
          </w:p>
        </w:tc>
        <w:tc>
          <w:tcPr/>
          <w:p>
            <w:pPr>
              <w:pStyle w:val="Compact"/>
              <w:jc w:val="left"/>
            </w:pPr>
            <w:r>
              <w:t xml:space="preserve">Concrete block masonry (200mm x 200mm x 400mm) for partition walls</w:t>
            </w:r>
          </w:p>
        </w:tc>
        <w:tc>
          <w:tcPr/>
          <w:p>
            <w:pPr>
              <w:pStyle w:val="Compact"/>
              <w:jc w:val="left"/>
            </w:pPr>
            <w:r>
              <w:t xml:space="preserve">m²</w:t>
            </w:r>
          </w:p>
        </w:tc>
        <w:tc>
          <w:tcPr/>
          <w:p>
            <w:pPr>
              <w:pStyle w:val="Compact"/>
              <w:jc w:val="left"/>
            </w:pPr>
            <w:r>
              <w:t xml:space="preserve">860</w:t>
            </w:r>
          </w:p>
        </w:tc>
        <w:tc>
          <w:tcPr/>
          <w:p>
            <w:pPr>
              <w:pStyle w:val="Compact"/>
              <w:jc w:val="left"/>
            </w:pPr>
            <w:r>
              <w:t xml:space="preserve">142.00</w:t>
            </w:r>
          </w:p>
        </w:tc>
        <w:tc>
          <w:tcPr/>
          <w:p>
            <w:pPr>
              <w:pStyle w:val="Compact"/>
              <w:jc w:val="left"/>
            </w:pPr>
            <w:r>
              <w:t xml:space="preserve">122,120.00</w:t>
            </w:r>
          </w:p>
        </w:tc>
      </w:tr>
      <w:tr>
        <w:tc>
          <w:tcPr/>
          <w:p>
            <w:pPr>
              <w:pStyle w:val="Compact"/>
              <w:jc w:val="left"/>
            </w:pPr>
            <w:r>
              <w:t xml:space="preserve">03</w:t>
            </w:r>
          </w:p>
        </w:tc>
        <w:tc>
          <w:tcPr/>
          <w:p>
            <w:pPr>
              <w:pStyle w:val="Compact"/>
              <w:jc w:val="left"/>
            </w:pPr>
            <w:r>
              <w:t xml:space="preserve">Natural granite stone cladding and setting for exterior facade</w:t>
            </w:r>
          </w:p>
        </w:tc>
        <w:tc>
          <w:tcPr/>
          <w:p>
            <w:pPr>
              <w:pStyle w:val="Compact"/>
              <w:jc w:val="left"/>
            </w:pPr>
            <w:r>
              <w:t xml:space="preserve">m²</w:t>
            </w:r>
          </w:p>
        </w:tc>
        <w:tc>
          <w:tcPr/>
          <w:p>
            <w:pPr>
              <w:pStyle w:val="Compact"/>
              <w:jc w:val="left"/>
            </w:pPr>
            <w:r>
              <w:t xml:space="preserve">420</w:t>
            </w:r>
          </w:p>
        </w:tc>
        <w:tc>
          <w:tcPr/>
          <w:p>
            <w:pPr>
              <w:pStyle w:val="Compact"/>
              <w:jc w:val="left"/>
            </w:pPr>
            <w:r>
              <w:t xml:space="preserve">680.00</w:t>
            </w:r>
          </w:p>
        </w:tc>
        <w:tc>
          <w:tcPr/>
          <w:p>
            <w:pPr>
              <w:pStyle w:val="Compact"/>
              <w:jc w:val="left"/>
            </w:pPr>
            <w:r>
              <w:t xml:space="preserve">285,600.00</w:t>
            </w:r>
          </w:p>
        </w:tc>
      </w:tr>
      <w:tr>
        <w:tc>
          <w:tcPr/>
          <w:p>
            <w:pPr>
              <w:pStyle w:val="Compact"/>
              <w:jc w:val="left"/>
            </w:pPr>
            <w:r>
              <w:t xml:space="preserve">04</w:t>
            </w:r>
          </w:p>
        </w:tc>
        <w:tc>
          <w:tcPr/>
          <w:p>
            <w:pPr>
              <w:pStyle w:val="Compact"/>
              <w:jc w:val="left"/>
            </w:pPr>
            <w:r>
              <w:t xml:space="preserve">Mortar mixing, application, and joint finishing (Type M and Type S mortar)</w:t>
            </w:r>
          </w:p>
        </w:tc>
        <w:tc>
          <w:tcPr/>
          <w:p>
            <w:pPr>
              <w:pStyle w:val="Compact"/>
              <w:jc w:val="left"/>
            </w:pPr>
            <w:r>
              <w:t xml:space="preserve">m³</w:t>
            </w:r>
          </w:p>
        </w:tc>
        <w:tc>
          <w:tcPr/>
          <w:p>
            <w:pPr>
              <w:pStyle w:val="Compact"/>
              <w:jc w:val="left"/>
            </w:pPr>
            <w:r>
              <w:t xml:space="preserve">38</w:t>
            </w:r>
          </w:p>
        </w:tc>
        <w:tc>
          <w:tcPr/>
          <w:p>
            <w:pPr>
              <w:pStyle w:val="Compact"/>
              <w:jc w:val="left"/>
            </w:pPr>
            <w:r>
              <w:t xml:space="preserve">950.00</w:t>
            </w:r>
          </w:p>
        </w:tc>
        <w:tc>
          <w:tcPr/>
          <w:p>
            <w:pPr>
              <w:pStyle w:val="Compact"/>
              <w:jc w:val="left"/>
            </w:pPr>
            <w:r>
              <w:t xml:space="preserve">36,100.00</w:t>
            </w:r>
          </w:p>
        </w:tc>
      </w:tr>
      <w:tr>
        <w:tc>
          <w:tcPr/>
          <w:p>
            <w:pPr>
              <w:pStyle w:val="Compact"/>
              <w:jc w:val="left"/>
            </w:pPr>
            <w:r>
              <w:t xml:space="preserve">05</w:t>
            </w:r>
          </w:p>
        </w:tc>
        <w:tc>
          <w:tcPr/>
          <w:p>
            <w:pPr>
              <w:pStyle w:val="Compact"/>
              <w:jc w:val="left"/>
            </w:pPr>
            <w:r>
              <w:t xml:space="preserve">Mason scaffolding erection, maintenance, and dismantling</w:t>
            </w:r>
          </w:p>
        </w:tc>
        <w:tc>
          <w:tcPr/>
          <w:p>
            <w:pPr>
              <w:pStyle w:val="Compact"/>
              <w:jc w:val="left"/>
            </w:pPr>
            <w:r>
              <w:t xml:space="preserve">Week</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06</w:t>
            </w:r>
          </w:p>
        </w:tc>
        <w:tc>
          <w:tcPr/>
          <w:p>
            <w:pPr>
              <w:pStyle w:val="Compact"/>
              <w:jc w:val="left"/>
            </w:pPr>
            <w:r>
              <w:t xml:space="preserve">Skilled Mason labor (certified, 8-hour shifts, 6 days/week)</w:t>
            </w:r>
          </w:p>
        </w:tc>
        <w:tc>
          <w:tcPr/>
          <w:p>
            <w:pPr>
              <w:pStyle w:val="Compact"/>
              <w:jc w:val="left"/>
            </w:pPr>
            <w:r>
              <w:t xml:space="preserve">Man-day</w:t>
            </w:r>
          </w:p>
        </w:tc>
        <w:tc>
          <w:tcPr/>
          <w:p>
            <w:pPr>
              <w:pStyle w:val="Compact"/>
              <w:jc w:val="left"/>
            </w:pPr>
            <w:r>
              <w:t xml:space="preserve">3,400</w:t>
            </w:r>
          </w:p>
        </w:tc>
        <w:tc>
          <w:tcPr/>
          <w:p>
            <w:pPr>
              <w:pStyle w:val="Compact"/>
              <w:jc w:val="left"/>
            </w:pPr>
            <w:r>
              <w:t xml:space="preserve">420.00</w:t>
            </w:r>
          </w:p>
        </w:tc>
        <w:tc>
          <w:tcPr/>
          <w:p>
            <w:pPr>
              <w:pStyle w:val="Compact"/>
              <w:jc w:val="left"/>
            </w:pPr>
            <w:r>
              <w:t xml:space="preserve">1,428,000.00</w:t>
            </w:r>
          </w:p>
        </w:tc>
      </w:tr>
      <w:tr>
        <w:tc>
          <w:tcPr/>
          <w:p>
            <w:pPr>
              <w:pStyle w:val="Compact"/>
              <w:jc w:val="left"/>
            </w:pPr>
            <w:r>
              <w:t xml:space="preserve">07</w:t>
            </w:r>
          </w:p>
        </w:tc>
        <w:tc>
          <w:tcPr/>
          <w:p>
            <w:pPr>
              <w:pStyle w:val="Compact"/>
              <w:jc w:val="left"/>
            </w:pPr>
            <w:r>
              <w:t xml:space="preserve">Quality inspection, curing, and final masonry finishing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08</w:t>
            </w:r>
          </w:p>
        </w:tc>
        <w:tc>
          <w:tcPr/>
          <w:p>
            <w:pPr>
              <w:pStyle w:val="Compact"/>
              <w:jc w:val="left"/>
            </w:pPr>
            <w:r>
              <w:t xml:space="preserve">Site management, safety compliance (China GB standards), and documentation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32,000.00</w:t>
            </w:r>
          </w:p>
        </w:tc>
        <w:tc>
          <w:tcPr/>
          <w:p>
            <w:pPr>
              <w:pStyle w:val="Compact"/>
              <w:jc w:val="left"/>
            </w:pPr>
            <w:r>
              <w:t xml:space="preserve">192,000.00</w:t>
            </w:r>
          </w:p>
        </w:tc>
      </w:tr>
      <w:tr>
        <w:tc>
          <w:tcPr>
            <w:gridSpan w:val="5"/>
          </w:tcPr>
          <w:p>
            <w:pPr>
              <w:pStyle w:val="Compact"/>
              <w:jc w:val="left"/>
            </w:pPr>
            <w:r>
              <w:t xml:space="preserve">SUBTOTAL</w:t>
            </w:r>
          </w:p>
        </w:tc>
        <w:tc>
          <w:tcPr/>
          <w:p>
            <w:pPr>
              <w:pStyle w:val="Compact"/>
              <w:jc w:val="left"/>
            </w:pPr>
            <w:r>
              <w:t xml:space="preserve">2,562,070.00</w:t>
            </w:r>
          </w:p>
        </w:tc>
      </w:tr>
      <w:tr>
        <w:tc>
          <w:tcPr>
            <w:gridSpan w:val="5"/>
          </w:tcPr>
          <w:p>
            <w:pPr>
              <w:pStyle w:val="Compact"/>
              <w:jc w:val="left"/>
            </w:pPr>
            <w:r>
              <w:t xml:space="preserve">VAT (13% — PRC Standard Rate)</w:t>
            </w:r>
          </w:p>
        </w:tc>
        <w:tc>
          <w:tcPr/>
          <w:p>
            <w:pPr>
              <w:pStyle w:val="Compact"/>
              <w:jc w:val="left"/>
            </w:pPr>
            <w:r>
              <w:t xml:space="preserve">333,069.10</w:t>
            </w:r>
          </w:p>
        </w:tc>
      </w:tr>
      <w:tr>
        <w:tc>
          <w:tcPr>
            <w:gridSpan w:val="5"/>
          </w:tcPr>
          <w:p>
            <w:pPr>
              <w:pStyle w:val="Compact"/>
              <w:jc w:val="left"/>
            </w:pPr>
            <w:r>
              <w:t xml:space="preserve">GRAND TOTAL (CNY)</w:t>
            </w:r>
          </w:p>
        </w:tc>
        <w:tc>
          <w:tcPr/>
          <w:p>
            <w:pPr>
              <w:pStyle w:val="Compact"/>
              <w:jc w:val="left"/>
            </w:pPr>
            <w:r>
              <w:t xml:space="preserve">2,895,139.10</w:t>
            </w:r>
          </w:p>
        </w:tc>
      </w:tr>
    </w:tbl>
    <w:bookmarkEnd w:id="22"/>
    <w:bookmarkStart w:id="23" w:name="payment-schedule"/>
    <w:p>
      <w:pPr>
        <w:pStyle w:val="Heading2"/>
      </w:pPr>
      <w:r>
        <w:t xml:space="preserve">3. Payment Schedule</w:t>
      </w:r>
    </w:p>
    <w:p>
      <w:pPr>
        <w:pStyle w:val="FirstParagraph"/>
      </w:pPr>
      <w:r>
        <w:t xml:space="preserve">The total amount specified in this</w:t>
      </w:r>
      <w:r>
        <w:t xml:space="preserve"> </w:t>
      </w:r>
      <w:r>
        <w:t xml:space="preserve">Quotation Estimate</w:t>
      </w:r>
      <w:r>
        <w:t xml:space="preserve"> </w:t>
      </w:r>
      <w:r>
        <w:t xml:space="preserve">shall be disbursed according to the following milestone-based payment structure, aligned with the progress of</w:t>
      </w:r>
      <w:r>
        <w:t xml:space="preserve"> </w:t>
      </w:r>
      <w:r>
        <w:t xml:space="preserve">Mason</w:t>
      </w:r>
      <w:r>
        <w:t xml:space="preserve"> </w:t>
      </w:r>
      <w:r>
        <w:t xml:space="preserve">work completion at the</w:t>
      </w:r>
      <w:r>
        <w:t xml:space="preserve"> </w:t>
      </w:r>
      <w:r>
        <w:t xml:space="preserve">China Shanghai</w:t>
      </w:r>
      <w:r>
        <w:t xml:space="preserve"> </w:t>
      </w:r>
      <w:r>
        <w:t xml:space="preserve">project site:</w:t>
      </w:r>
    </w:p>
    <w:p>
      <w:pPr>
        <w:numPr>
          <w:ilvl w:val="0"/>
          <w:numId w:val="1001"/>
        </w:numPr>
        <w:pStyle w:val="Compact"/>
      </w:pPr>
      <w:r>
        <w:rPr>
          <w:bCs/>
          <w:b/>
        </w:rPr>
        <w:t xml:space="preserve">Advance Payment (20%):</w:t>
      </w:r>
      <w:r>
        <w:t xml:space="preserve"> </w:t>
      </w:r>
      <w:r>
        <w:t xml:space="preserve">CNY 579,027.82 — Due upon contract execution and site mobilization.</w:t>
      </w:r>
    </w:p>
    <w:p>
      <w:pPr>
        <w:numPr>
          <w:ilvl w:val="0"/>
          <w:numId w:val="1001"/>
        </w:numPr>
        <w:pStyle w:val="Compact"/>
      </w:pPr>
      <w:r>
        <w:rPr>
          <w:bCs/>
          <w:b/>
        </w:rPr>
        <w:t xml:space="preserve">Progress Payment 1 (30%):</w:t>
      </w:r>
      <w:r>
        <w:t xml:space="preserve"> </w:t>
      </w:r>
      <w:r>
        <w:t xml:space="preserve">CNY 868,541.73 — Due upon completion of all structural bricklaying and blockwork (Items 01 &amp; 02).</w:t>
      </w:r>
    </w:p>
    <w:p>
      <w:pPr>
        <w:numPr>
          <w:ilvl w:val="0"/>
          <w:numId w:val="1001"/>
        </w:numPr>
        <w:pStyle w:val="Compact"/>
      </w:pPr>
      <w:r>
        <w:rPr>
          <w:bCs/>
          <w:b/>
        </w:rPr>
        <w:t xml:space="preserve">Progress Payment 2 (30%):</w:t>
      </w:r>
      <w:r>
        <w:t xml:space="preserve"> </w:t>
      </w:r>
      <w:r>
        <w:t xml:space="preserve">CNY 868,541.73 — Due upon completion of stone cladding and mortar finishing (Items 03 &amp; 04).</w:t>
      </w:r>
    </w:p>
    <w:p>
      <w:pPr>
        <w:numPr>
          <w:ilvl w:val="0"/>
          <w:numId w:val="1001"/>
        </w:numPr>
        <w:pStyle w:val="Compact"/>
      </w:pPr>
      <w:r>
        <w:rPr>
          <w:bCs/>
          <w:b/>
        </w:rPr>
        <w:t xml:space="preserve">Final Payment (20%):</w:t>
      </w:r>
      <w:r>
        <w:t xml:space="preserve"> </w:t>
      </w:r>
      <w:r>
        <w:t xml:space="preserve">CNY 579,027.82 — Due upon final inspection, acceptance, and handover of all masonry works.</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non-binding until formally accepted in writing by the client and countersigned by both parties.</w:t>
      </w:r>
    </w:p>
    <w:p>
      <w:pPr>
        <w:numPr>
          <w:ilvl w:val="0"/>
          <w:numId w:val="1002"/>
        </w:numPr>
        <w:pStyle w:val="Compact"/>
      </w:pPr>
      <w:r>
        <w:t xml:space="preserve">All</w:t>
      </w:r>
      <w:r>
        <w:t xml:space="preserve"> </w:t>
      </w:r>
      <w:r>
        <w:t xml:space="preserve">Mason</w:t>
      </w:r>
      <w:r>
        <w:t xml:space="preserve"> </w:t>
      </w:r>
      <w:r>
        <w:t xml:space="preserve">work shall comply with the current Chinese National Standards (GB 50203-2011 for Masonry Structure Engineering) and local Shanghai municipal building regulations.</w:t>
      </w:r>
    </w:p>
    <w:p>
      <w:pPr>
        <w:numPr>
          <w:ilvl w:val="0"/>
          <w:numId w:val="1002"/>
        </w:numPr>
        <w:pStyle w:val="Compact"/>
      </w:pPr>
      <w:r>
        <w:t xml:space="preserve">The project timeline is estimated at 24 weeks from the date of site access, subject to weather conditions and client-approved schedule changes in</w:t>
      </w:r>
      <w:r>
        <w:t xml:space="preserve"> </w:t>
      </w:r>
      <w:r>
        <w:t xml:space="preserve">China Shanghai</w:t>
      </w:r>
      <w:r>
        <w:t xml:space="preserve">.</w:t>
      </w:r>
    </w:p>
    <w:p>
      <w:pPr>
        <w:numPr>
          <w:ilvl w:val="0"/>
          <w:numId w:val="1002"/>
        </w:numPr>
        <w:pStyle w:val="Compact"/>
      </w:pPr>
      <w:r>
        <w:t xml:space="preserve">Any variation in scope exceeding 10% of the original</w:t>
      </w:r>
      <w:r>
        <w:t xml:space="preserve"> </w:t>
      </w:r>
      <w:r>
        <w:t xml:space="preserve">Quotation Estimate</w:t>
      </w:r>
      <w:r>
        <w:t xml:space="preserve"> </w:t>
      </w:r>
      <w:r>
        <w:t xml:space="preserve">value shall require a supplementary written agreement.</w:t>
      </w:r>
    </w:p>
    <w:p>
      <w:pPr>
        <w:numPr>
          <w:ilvl w:val="0"/>
          <w:numId w:val="1002"/>
        </w:numPr>
        <w:pStyle w:val="Compact"/>
      </w:pPr>
      <w:r>
        <w:t xml:space="preserve">All materials shall be sourced from approved suppliers within the Shanghai metropolitan area to ensure quality consistency and timely delivery.</w:t>
      </w:r>
    </w:p>
    <w:p>
      <w:pPr>
        <w:numPr>
          <w:ilvl w:val="0"/>
          <w:numId w:val="1002"/>
        </w:numPr>
        <w:pStyle w:val="Compact"/>
      </w:pPr>
      <w:r>
        <w:t xml:space="preserve">The</w:t>
      </w:r>
      <w:r>
        <w:t xml:space="preserve"> </w:t>
      </w:r>
      <w:r>
        <w:t xml:space="preserve">Mason</w:t>
      </w:r>
      <w:r>
        <w:t xml:space="preserve"> </w:t>
      </w:r>
      <w:r>
        <w:t xml:space="preserve">team shall hold valid PRC construction worker certifications and shall be covered under mandatory work-injury insurance as required by Chinese labor law.</w:t>
      </w:r>
    </w:p>
    <w:p>
      <w:pPr>
        <w:numPr>
          <w:ilvl w:val="0"/>
          <w:numId w:val="1002"/>
        </w:numPr>
        <w:pStyle w:val="Compact"/>
      </w:pPr>
      <w:r>
        <w:t xml:space="preserve">Disputes arising from this quotation shall be resolved through arbitration at the Shanghai Arbitration Commission in accordance with its rules.</w:t>
      </w:r>
    </w:p>
    <w:p>
      <w:pPr>
        <w:numPr>
          <w:ilvl w:val="0"/>
          <w:numId w:val="1002"/>
        </w:numPr>
        <w:pStyle w:val="Compact"/>
      </w:pPr>
      <w:r>
        <w:t xml:space="preserve">This</w:t>
      </w:r>
      <w:r>
        <w:t xml:space="preserve"> </w:t>
      </w:r>
      <w:r>
        <w:t xml:space="preserve">Quotation Estimate</w:t>
      </w:r>
      <w:r>
        <w:t xml:space="preserve"> </w:t>
      </w:r>
      <w:r>
        <w:t xml:space="preserve">does not include costs for architectural design, structural engineering calculations, or permits, which shall be the responsibility of the client.</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for</w:t>
      </w:r>
      <w:r>
        <w:t xml:space="preserve"> </w:t>
      </w:r>
      <w:r>
        <w:t xml:space="preserve">Mason</w:t>
      </w:r>
      <w:r>
        <w:t xml:space="preserve"> </w:t>
      </w:r>
      <w:r>
        <w:t xml:space="preserve">services in</w:t>
      </w:r>
      <w:r>
        <w:t xml:space="preserve"> </w:t>
      </w:r>
      <w:r>
        <w:t xml:space="preserve">China Shanghai</w:t>
      </w:r>
      <w:r>
        <w:t xml:space="preserve"> </w:t>
      </w:r>
      <w:r>
        <w:t xml:space="preserve">has been reviewed, understood, and agreed upon in all respects.</w:t>
      </w:r>
    </w:p>
    <w:p>
      <w:pPr>
        <w:pStyle w:val="BodyText"/>
      </w:pPr>
      <w:r>
        <w:rPr>
          <w:bCs/>
          <w:b/>
        </w:rPr>
        <w:t xml:space="preserve">For: Shanghai Mason Construction Co., Ltd.</w:t>
      </w:r>
    </w:p>
    <w:p>
      <w:pPr>
        <w:pStyle w:val="BodyText"/>
      </w:pPr>
      <w:r>
        <w:t xml:space="preserve">Name: _________________________</w:t>
      </w:r>
    </w:p>
    <w:p>
      <w:pPr>
        <w:pStyle w:val="BodyText"/>
      </w:pPr>
      <w:r>
        <w:t xml:space="preserve">Title: General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Shanghai Riverside Development Group</w:t>
      </w:r>
    </w:p>
    <w:p>
      <w:pPr>
        <w:pStyle w:val="BodyText"/>
      </w:pPr>
      <w:r>
        <w:t xml:space="preserve">Name: _________________________</w:t>
      </w:r>
    </w:p>
    <w:p>
      <w:pPr>
        <w:pStyle w:val="BodyText"/>
      </w:pPr>
      <w:r>
        <w:t xml:space="preserve">Title: Project Director</w:t>
      </w:r>
    </w:p>
    <w:p>
      <w:pPr>
        <w:pStyle w:val="BodyText"/>
      </w:pPr>
      <w:r>
        <w:t xml:space="preserve">Signature: _________________________</w:t>
      </w:r>
    </w:p>
    <w:p>
      <w:pPr>
        <w:pStyle w:val="BodyText"/>
      </w:pPr>
      <w:r>
        <w:t xml:space="preserve">Date: _________________________</w:t>
      </w:r>
    </w:p>
    <w:p>
      <w:pPr>
        <w:pStyle w:val="BodyText"/>
      </w:pPr>
      <w:r>
        <w:t xml:space="preserve">Shanghai Mason Construction Co., Ltd. | 888 Century Avenue, Pudong New Area, China Shanghai 200120</w:t>
      </w:r>
    </w:p>
    <w:p>
      <w:pPr>
        <w:pStyle w:val="BodyText"/>
      </w:pPr>
      <w:r>
        <w:t xml:space="preserve">Tel: +86-21-5888-6600 | Email: estimates@shanghaimason.cn | Unified Social Credit Code: 91310115MA1K3XXXXX</w:t>
      </w:r>
    </w:p>
    <w:p>
      <w:pPr>
        <w:pStyle w:val="BodyText"/>
      </w:pPr>
      <w:r>
        <w:t xml:space="preserve">This Quotation Estimate is valid for 30 days from the date of issue.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China Shanghai</dc:title>
  <dc:creator/>
  <dc:language>en</dc:language>
  <cp:keywords/>
  <dcterms:created xsi:type="dcterms:W3CDTF">2026-10-10T03:38:31Z</dcterms:created>
  <dcterms:modified xsi:type="dcterms:W3CDTF">2026-10-10T03:38:31Z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