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Mason</w:t>
      </w:r>
      <w:r>
        <w:t xml:space="preserve"> </w:t>
      </w:r>
      <w:r>
        <w:t xml:space="preserve">Services</w:t>
      </w:r>
      <w:r>
        <w:t xml:space="preserve"> </w:t>
      </w:r>
      <w:r>
        <w:t xml:space="preserve">-</w:t>
      </w:r>
      <w:r>
        <w:t xml:space="preserve"> </w:t>
      </w:r>
      <w:r>
        <w:t xml:space="preserve">Colombia</w:t>
      </w:r>
      <w:r>
        <w:t xml:space="preserve"> </w:t>
      </w:r>
      <w:r>
        <w:t xml:space="preserve">Bogotá</w:t>
      </w:r>
    </w:p>
    <w:bookmarkStart w:id="20" w:name="quotation-estimate"/>
    <w:p>
      <w:pPr>
        <w:pStyle w:val="Heading1"/>
      </w:pPr>
      <w:r>
        <w:t xml:space="preserve">QUOTATION ESTIMATE</w:t>
      </w:r>
    </w:p>
    <w:p>
      <w:pPr>
        <w:pStyle w:val="FirstParagraph"/>
      </w:pPr>
      <w:r>
        <w:rPr>
          <w:bCs/>
          <w:b/>
        </w:rPr>
        <w:t xml:space="preserve">Andina Mason &amp; Construction Services S.A.S.</w:t>
      </w:r>
    </w:p>
    <w:p>
      <w:pPr>
        <w:pStyle w:val="BodyText"/>
      </w:pPr>
      <w:r>
        <w:t xml:space="preserve">Calle 45 # 12-34, Zona Rosa, Colombia Bogotá, Cundinamarca</w:t>
      </w:r>
    </w:p>
    <w:p>
      <w:pPr>
        <w:pStyle w:val="BodyText"/>
      </w:pPr>
      <w:r>
        <w:t xml:space="preserve">NIT: 901.234.567-8 | Tel: +57 (601) 555-7890 | Email: estimates@andinamason.co</w:t>
      </w:r>
    </w:p>
    <w:bookmarkEnd w:id="20"/>
    <w:p>
      <w:pPr>
        <w:pStyle w:val="BodyText"/>
      </w:pPr>
      <w:r>
        <w:rPr>
          <w:bCs/>
          <w:b/>
        </w:rPr>
        <w:t xml:space="preserve">Quotation No.:</w:t>
      </w:r>
      <w:r>
        <w:t xml:space="preserve"> </w:t>
      </w:r>
      <w:r>
        <w:t xml:space="preserve">QTE-2025-04871</w:t>
      </w:r>
    </w:p>
    <w:p>
      <w:pPr>
        <w:pStyle w:val="BodyText"/>
      </w:pPr>
      <w:r>
        <w:rPr>
          <w:bCs/>
          <w:b/>
        </w:rPr>
        <w:t xml:space="preserve">Date Issued:</w:t>
      </w:r>
      <w:r>
        <w:t xml:space="preserve"> </w:t>
      </w:r>
      <w:r>
        <w:t xml:space="preserve">June 12, 2025</w:t>
      </w:r>
    </w:p>
    <w:p>
      <w:pPr>
        <w:pStyle w:val="BodyText"/>
      </w:pPr>
      <w:r>
        <w:rPr>
          <w:bCs/>
          <w:b/>
        </w:rPr>
        <w:t xml:space="preserve">Valid Until:</w:t>
      </w:r>
      <w:r>
        <w:t xml:space="preserve"> </w:t>
      </w:r>
      <w:r>
        <w:t xml:space="preserve">July 12, 2025</w:t>
      </w:r>
    </w:p>
    <w:p>
      <w:pPr>
        <w:pStyle w:val="BodyText"/>
      </w:pPr>
      <w:r>
        <w:rPr>
          <w:bCs/>
          <w:b/>
        </w:rPr>
        <w:t xml:space="preserve">Client Name:</w:t>
      </w:r>
      <w:r>
        <w:t xml:space="preserve"> </w:t>
      </w:r>
      <w:r>
        <w:t xml:space="preserve">Constructora del Valle S.A.S.</w:t>
      </w:r>
    </w:p>
    <w:p>
      <w:pPr>
        <w:pStyle w:val="BodyText"/>
      </w:pPr>
      <w:r>
        <w:rPr>
          <w:bCs/>
          <w:b/>
        </w:rPr>
        <w:t xml:space="preserve">Project Address:</w:t>
      </w:r>
      <w:r>
        <w:t xml:space="preserve"> </w:t>
      </w:r>
      <w:r>
        <w:t xml:space="preserve">Av. Caracas # 85-22, Colombia Bogotá</w:t>
      </w:r>
    </w:p>
    <w:p>
      <w:pPr>
        <w:pStyle w:val="BodyText"/>
      </w:pPr>
      <w:r>
        <w:rPr>
          <w:bCs/>
          <w:b/>
        </w:rPr>
        <w:t xml:space="preserve">Contact:</w:t>
      </w:r>
      <w:r>
        <w:t xml:space="preserve"> </w:t>
      </w:r>
      <w:r>
        <w:t xml:space="preserve">Ing. María Fernanda Restrepo</w:t>
      </w:r>
    </w:p>
    <w:p>
      <w:pPr>
        <w:pStyle w:val="BodyText"/>
      </w:pPr>
      <w:r>
        <w:t xml:space="preserve">1. Purpose of This Quotation Estimate</w:t>
      </w:r>
    </w:p>
    <w:p>
      <w:pPr>
        <w:pStyle w:val="BodyText"/>
      </w:pPr>
      <w:r>
        <w:t xml:space="preserve">This</w:t>
      </w:r>
      <w:r>
        <w:t xml:space="preserve"> </w:t>
      </w:r>
      <w:r>
        <w:t xml:space="preserve">Quotation Estimate</w:t>
      </w:r>
      <w:r>
        <w:t xml:space="preserve"> </w:t>
      </w:r>
      <w:r>
        <w:t xml:space="preserve">is formally issued by Andina Mason &amp; Construction Services S.A.S. to provide a comprehensive and itemized cost breakdown for all masonry works required for the residential and commercial development project located in</w:t>
      </w:r>
      <w:r>
        <w:t xml:space="preserve"> </w:t>
      </w:r>
      <w:r>
        <w:t xml:space="preserve">Colombia Bogotá</w:t>
      </w:r>
      <w:r>
        <w:t xml:space="preserve">. This document serves as the official</w:t>
      </w:r>
      <w:r>
        <w:t xml:space="preserve"> </w:t>
      </w:r>
      <w:r>
        <w:t xml:space="preserve">Quotation Estimate</w:t>
      </w:r>
      <w:r>
        <w:t xml:space="preserve"> </w:t>
      </w:r>
      <w:r>
        <w:t xml:space="preserve">for the</w:t>
      </w:r>
      <w:r>
        <w:t xml:space="preserve"> </w:t>
      </w:r>
      <w:r>
        <w:t xml:space="preserve">Mason</w:t>
      </w:r>
      <w:r>
        <w:t xml:space="preserve"> </w:t>
      </w:r>
      <w:r>
        <w:t xml:space="preserve">services, materials, labor, and equipment that will be deployed on-site. All pricing reflects current market conditions in the</w:t>
      </w:r>
      <w:r>
        <w:t xml:space="preserve"> </w:t>
      </w:r>
      <w:r>
        <w:t xml:space="preserve">Colombia Bogotá</w:t>
      </w:r>
      <w:r>
        <w:t xml:space="preserve"> </w:t>
      </w:r>
      <w:r>
        <w:t xml:space="preserve">metropolitan area as of the date of issue and is subject to the terms and conditions outlined herein.</w:t>
      </w:r>
    </w:p>
    <w:p>
      <w:pPr>
        <w:pStyle w:val="BodyText"/>
      </w:pPr>
      <w:r>
        <w:t xml:space="preserve">2. Scope of Mason Work</w:t>
      </w:r>
    </w:p>
    <w:p>
      <w:pPr>
        <w:pStyle w:val="BodyText"/>
      </w:pPr>
      <w:r>
        <w:t xml:space="preserve">The</w:t>
      </w:r>
      <w:r>
        <w:t xml:space="preserve"> </w:t>
      </w:r>
      <w:r>
        <w:t xml:space="preserve">Mason</w:t>
      </w:r>
      <w:r>
        <w:t xml:space="preserve"> </w:t>
      </w:r>
      <w:r>
        <w:t xml:space="preserve">services covered under this</w:t>
      </w:r>
      <w:r>
        <w:t xml:space="preserve"> </w:t>
      </w:r>
      <w:r>
        <w:t xml:space="preserve">Quotation Estimate</w:t>
      </w:r>
      <w:r>
        <w:t xml:space="preserve"> </w:t>
      </w:r>
      <w:r>
        <w:t xml:space="preserve">include the following activities to be executed in</w:t>
      </w:r>
      <w:r>
        <w:t xml:space="preserve"> </w:t>
      </w:r>
      <w:r>
        <w:t xml:space="preserve">Colombia Bogotá</w:t>
      </w:r>
      <w:r>
        <w:t xml:space="preserve">:</w:t>
      </w:r>
    </w:p>
    <w:p>
      <w:pPr>
        <w:numPr>
          <w:ilvl w:val="0"/>
          <w:numId w:val="1001"/>
        </w:numPr>
        <w:pStyle w:val="Compact"/>
      </w:pPr>
      <w:r>
        <w:t xml:space="preserve">Foundation wall construction using reinforced concrete blocks (15 cm x 20 cm x 40 cm) with structural mortar mix (1:3 cement-to-sand ratio).</w:t>
      </w:r>
    </w:p>
    <w:p>
      <w:pPr>
        <w:numPr>
          <w:ilvl w:val="0"/>
          <w:numId w:val="1001"/>
        </w:numPr>
        <w:pStyle w:val="Compact"/>
      </w:pPr>
      <w:r>
        <w:t xml:space="preserve">Erection of load-bearing and non-load-bearing masonry walls using hollow concrete blocks and solid clay bricks as specified in the architectural plans.</w:t>
      </w:r>
    </w:p>
    <w:p>
      <w:pPr>
        <w:numPr>
          <w:ilvl w:val="0"/>
          <w:numId w:val="1001"/>
        </w:numPr>
        <w:pStyle w:val="Compact"/>
      </w:pPr>
      <w:r>
        <w:t xml:space="preserve">Installation of lintels, sills, and structural headers above all door and window openings.</w:t>
      </w:r>
    </w:p>
    <w:p>
      <w:pPr>
        <w:numPr>
          <w:ilvl w:val="0"/>
          <w:numId w:val="1001"/>
        </w:numPr>
        <w:pStyle w:val="Compact"/>
      </w:pPr>
      <w:r>
        <w:t xml:space="preserve">Application of interior and exterior plastering (enlucido) in two coats, achieving a minimum thickness of 1.5 cm per coat.</w:t>
      </w:r>
    </w:p>
    <w:p>
      <w:pPr>
        <w:numPr>
          <w:ilvl w:val="0"/>
          <w:numId w:val="1001"/>
        </w:numPr>
        <w:pStyle w:val="Compact"/>
      </w:pPr>
      <w:r>
        <w:t xml:space="preserve">Construction of masonry partitions, staircases, and retaining walls as detailed in the structural drawings.</w:t>
      </w:r>
    </w:p>
    <w:p>
      <w:pPr>
        <w:numPr>
          <w:ilvl w:val="0"/>
          <w:numId w:val="1001"/>
        </w:numPr>
        <w:pStyle w:val="Compact"/>
      </w:pPr>
      <w:r>
        <w:t xml:space="preserve">Installation of weep holes, expansion joints, and waterproofing membranes at all masonry interfaces.</w:t>
      </w:r>
    </w:p>
    <w:p>
      <w:pPr>
        <w:numPr>
          <w:ilvl w:val="0"/>
          <w:numId w:val="1001"/>
        </w:numPr>
        <w:pStyle w:val="Compact"/>
      </w:pPr>
      <w:r>
        <w:t xml:space="preserve">Finishing and curing of all masonry surfaces to meet the Colombian technical standard NTC 3397 for masonry construction.</w:t>
      </w:r>
    </w:p>
    <w:p>
      <w:pPr>
        <w:pStyle w:val="FirstParagraph"/>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Mason Work</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Price (COP)</w:t>
            </w:r>
          </w:p>
        </w:tc>
        <w:tc>
          <w:tcPr/>
          <w:p>
            <w:pPr>
              <w:pStyle w:val="Compact"/>
              <w:jc w:val="left"/>
            </w:pPr>
            <w:r>
              <w:t xml:space="preserve">Total (COP)</w:t>
            </w:r>
          </w:p>
        </w:tc>
      </w:tr>
      <w:tr>
        <w:tc>
          <w:tcPr/>
          <w:p>
            <w:pPr>
              <w:pStyle w:val="Compact"/>
              <w:jc w:val="left"/>
            </w:pPr>
            <w:r>
              <w:t xml:space="preserve">01</w:t>
            </w:r>
          </w:p>
        </w:tc>
        <w:tc>
          <w:tcPr/>
          <w:p>
            <w:pPr>
              <w:pStyle w:val="Compact"/>
              <w:jc w:val="left"/>
            </w:pPr>
            <w:r>
              <w:t xml:space="preserve">Foundation masonry walls – reinforced concrete blocks with structural mortar</w:t>
            </w:r>
          </w:p>
        </w:tc>
        <w:tc>
          <w:tcPr/>
          <w:p>
            <w:pPr>
              <w:pStyle w:val="Compact"/>
              <w:jc w:val="left"/>
            </w:pPr>
            <w:r>
              <w:t xml:space="preserve">m²</w:t>
            </w:r>
          </w:p>
        </w:tc>
        <w:tc>
          <w:tcPr/>
          <w:p>
            <w:pPr>
              <w:pStyle w:val="Compact"/>
              <w:jc w:val="left"/>
            </w:pPr>
            <w:r>
              <w:t xml:space="preserve">1,250</w:t>
            </w:r>
          </w:p>
        </w:tc>
        <w:tc>
          <w:tcPr/>
          <w:p>
            <w:pPr>
              <w:pStyle w:val="Compact"/>
              <w:jc w:val="left"/>
            </w:pPr>
            <w:r>
              <w:t xml:space="preserve">85,000</w:t>
            </w:r>
          </w:p>
        </w:tc>
        <w:tc>
          <w:tcPr/>
          <w:p>
            <w:pPr>
              <w:pStyle w:val="Compact"/>
              <w:jc w:val="left"/>
            </w:pPr>
            <w:r>
              <w:t xml:space="preserve">106,250,000</w:t>
            </w:r>
          </w:p>
        </w:tc>
      </w:tr>
      <w:tr>
        <w:tc>
          <w:tcPr/>
          <w:p>
            <w:pPr>
              <w:pStyle w:val="Compact"/>
              <w:jc w:val="left"/>
            </w:pPr>
            <w:r>
              <w:t xml:space="preserve">02</w:t>
            </w:r>
          </w:p>
        </w:tc>
        <w:tc>
          <w:tcPr/>
          <w:p>
            <w:pPr>
              <w:pStyle w:val="Compact"/>
              <w:jc w:val="left"/>
            </w:pPr>
            <w:r>
              <w:t xml:space="preserve">Load-bearing masonry walls – hollow concrete blocks (15 cm)</w:t>
            </w:r>
          </w:p>
        </w:tc>
        <w:tc>
          <w:tcPr/>
          <w:p>
            <w:pPr>
              <w:pStyle w:val="Compact"/>
              <w:jc w:val="left"/>
            </w:pPr>
            <w:r>
              <w:t xml:space="preserve">m²</w:t>
            </w:r>
          </w:p>
        </w:tc>
        <w:tc>
          <w:tcPr/>
          <w:p>
            <w:pPr>
              <w:pStyle w:val="Compact"/>
              <w:jc w:val="left"/>
            </w:pPr>
            <w:r>
              <w:t xml:space="preserve">3,400</w:t>
            </w:r>
          </w:p>
        </w:tc>
        <w:tc>
          <w:tcPr/>
          <w:p>
            <w:pPr>
              <w:pStyle w:val="Compact"/>
              <w:jc w:val="left"/>
            </w:pPr>
            <w:r>
              <w:t xml:space="preserve">62,500</w:t>
            </w:r>
          </w:p>
        </w:tc>
        <w:tc>
          <w:tcPr/>
          <w:p>
            <w:pPr>
              <w:pStyle w:val="Compact"/>
              <w:jc w:val="left"/>
            </w:pPr>
            <w:r>
              <w:t xml:space="preserve">212,500,000</w:t>
            </w:r>
          </w:p>
        </w:tc>
      </w:tr>
      <w:tr>
        <w:tc>
          <w:tcPr/>
          <w:p>
            <w:pPr>
              <w:pStyle w:val="Compact"/>
              <w:jc w:val="left"/>
            </w:pPr>
            <w:r>
              <w:t xml:space="preserve">03</w:t>
            </w:r>
          </w:p>
        </w:tc>
        <w:tc>
          <w:tcPr/>
          <w:p>
            <w:pPr>
              <w:pStyle w:val="Compact"/>
              <w:jc w:val="left"/>
            </w:pPr>
            <w:r>
              <w:t xml:space="preserve">Non-load-bearing partition walls – solid clay bricks</w:t>
            </w:r>
          </w:p>
        </w:tc>
        <w:tc>
          <w:tcPr/>
          <w:p>
            <w:pPr>
              <w:pStyle w:val="Compact"/>
              <w:jc w:val="left"/>
            </w:pPr>
            <w:r>
              <w:t xml:space="preserve">m²</w:t>
            </w:r>
          </w:p>
        </w:tc>
        <w:tc>
          <w:tcPr/>
          <w:p>
            <w:pPr>
              <w:pStyle w:val="Compact"/>
              <w:jc w:val="left"/>
            </w:pPr>
            <w:r>
              <w:t xml:space="preserve">1,800</w:t>
            </w:r>
          </w:p>
        </w:tc>
        <w:tc>
          <w:tcPr/>
          <w:p>
            <w:pPr>
              <w:pStyle w:val="Compact"/>
              <w:jc w:val="left"/>
            </w:pPr>
            <w:r>
              <w:t xml:space="preserve">48,000</w:t>
            </w:r>
          </w:p>
        </w:tc>
        <w:tc>
          <w:tcPr/>
          <w:p>
            <w:pPr>
              <w:pStyle w:val="Compact"/>
              <w:jc w:val="left"/>
            </w:pPr>
            <w:r>
              <w:t xml:space="preserve">86,400,000</w:t>
            </w:r>
          </w:p>
        </w:tc>
      </w:tr>
      <w:tr>
        <w:tc>
          <w:tcPr/>
          <w:p>
            <w:pPr>
              <w:pStyle w:val="Compact"/>
              <w:jc w:val="left"/>
            </w:pPr>
            <w:r>
              <w:t xml:space="preserve">04</w:t>
            </w:r>
          </w:p>
        </w:tc>
        <w:tc>
          <w:tcPr/>
          <w:p>
            <w:pPr>
              <w:pStyle w:val="Compact"/>
              <w:jc w:val="left"/>
            </w:pPr>
            <w:r>
              <w:t xml:space="preserve">Interior plastering (two coats, 1.5 cm each)</w:t>
            </w:r>
          </w:p>
        </w:tc>
        <w:tc>
          <w:tcPr/>
          <w:p>
            <w:pPr>
              <w:pStyle w:val="Compact"/>
              <w:jc w:val="left"/>
            </w:pPr>
            <w:r>
              <w:t xml:space="preserve">m²</w:t>
            </w:r>
          </w:p>
        </w:tc>
        <w:tc>
          <w:tcPr/>
          <w:p>
            <w:pPr>
              <w:pStyle w:val="Compact"/>
              <w:jc w:val="left"/>
            </w:pPr>
            <w:r>
              <w:t xml:space="preserve">5,200</w:t>
            </w:r>
          </w:p>
        </w:tc>
        <w:tc>
          <w:tcPr/>
          <w:p>
            <w:pPr>
              <w:pStyle w:val="Compact"/>
              <w:jc w:val="left"/>
            </w:pPr>
            <w:r>
              <w:t xml:space="preserve">32,000</w:t>
            </w:r>
          </w:p>
        </w:tc>
        <w:tc>
          <w:tcPr/>
          <w:p>
            <w:pPr>
              <w:pStyle w:val="Compact"/>
              <w:jc w:val="left"/>
            </w:pPr>
            <w:r>
              <w:t xml:space="preserve">166,400,000</w:t>
            </w:r>
          </w:p>
        </w:tc>
      </w:tr>
      <w:tr>
        <w:tc>
          <w:tcPr/>
          <w:p>
            <w:pPr>
              <w:pStyle w:val="Compact"/>
              <w:jc w:val="left"/>
            </w:pPr>
            <w:r>
              <w:t xml:space="preserve">05</w:t>
            </w:r>
          </w:p>
        </w:tc>
        <w:tc>
          <w:tcPr/>
          <w:p>
            <w:pPr>
              <w:pStyle w:val="Compact"/>
              <w:jc w:val="left"/>
            </w:pPr>
            <w:r>
              <w:t xml:space="preserve">Exterior plastering with waterproofing treatment</w:t>
            </w:r>
          </w:p>
        </w:tc>
        <w:tc>
          <w:tcPr/>
          <w:p>
            <w:pPr>
              <w:pStyle w:val="Compact"/>
              <w:jc w:val="left"/>
            </w:pPr>
            <w:r>
              <w:t xml:space="preserve">m²</w:t>
            </w:r>
          </w:p>
        </w:tc>
        <w:tc>
          <w:tcPr/>
          <w:p>
            <w:pPr>
              <w:pStyle w:val="Compact"/>
              <w:jc w:val="left"/>
            </w:pPr>
            <w:r>
              <w:t xml:space="preserve">2,100</w:t>
            </w:r>
          </w:p>
        </w:tc>
        <w:tc>
          <w:tcPr/>
          <w:p>
            <w:pPr>
              <w:pStyle w:val="Compact"/>
              <w:jc w:val="left"/>
            </w:pPr>
            <w:r>
              <w:t xml:space="preserve">45,000</w:t>
            </w:r>
          </w:p>
        </w:tc>
        <w:tc>
          <w:tcPr/>
          <w:p>
            <w:pPr>
              <w:pStyle w:val="Compact"/>
              <w:jc w:val="left"/>
            </w:pPr>
            <w:r>
              <w:t xml:space="preserve">94,500,000</w:t>
            </w:r>
          </w:p>
        </w:tc>
      </w:tr>
      <w:tr>
        <w:tc>
          <w:tcPr/>
          <w:p>
            <w:pPr>
              <w:pStyle w:val="Compact"/>
              <w:jc w:val="left"/>
            </w:pPr>
            <w:r>
              <w:t xml:space="preserve">06</w:t>
            </w:r>
          </w:p>
        </w:tc>
        <w:tc>
          <w:tcPr/>
          <w:p>
            <w:pPr>
              <w:pStyle w:val="Compact"/>
              <w:jc w:val="left"/>
            </w:pPr>
            <w:r>
              <w:t xml:space="preserve">Lintels, sills, and structural headers (precast concrete)</w:t>
            </w:r>
          </w:p>
        </w:tc>
        <w:tc>
          <w:tcPr/>
          <w:p>
            <w:pPr>
              <w:pStyle w:val="Compact"/>
              <w:jc w:val="left"/>
            </w:pPr>
            <w:r>
              <w:t xml:space="preserve">ea</w:t>
            </w:r>
          </w:p>
        </w:tc>
        <w:tc>
          <w:tcPr/>
          <w:p>
            <w:pPr>
              <w:pStyle w:val="Compact"/>
              <w:jc w:val="left"/>
            </w:pPr>
            <w:r>
              <w:t xml:space="preserve">185</w:t>
            </w:r>
          </w:p>
        </w:tc>
        <w:tc>
          <w:tcPr/>
          <w:p>
            <w:pPr>
              <w:pStyle w:val="Compact"/>
              <w:jc w:val="left"/>
            </w:pPr>
            <w:r>
              <w:t xml:space="preserve">125,000</w:t>
            </w:r>
          </w:p>
        </w:tc>
        <w:tc>
          <w:tcPr/>
          <w:p>
            <w:pPr>
              <w:pStyle w:val="Compact"/>
              <w:jc w:val="left"/>
            </w:pPr>
            <w:r>
              <w:t xml:space="preserve">23,125,000</w:t>
            </w:r>
          </w:p>
        </w:tc>
      </w:tr>
      <w:tr>
        <w:tc>
          <w:tcPr/>
          <w:p>
            <w:pPr>
              <w:pStyle w:val="Compact"/>
              <w:jc w:val="left"/>
            </w:pPr>
            <w:r>
              <w:t xml:space="preserve">07</w:t>
            </w:r>
          </w:p>
        </w:tc>
        <w:tc>
          <w:tcPr/>
          <w:p>
            <w:pPr>
              <w:pStyle w:val="Compact"/>
              <w:jc w:val="left"/>
            </w:pPr>
            <w:r>
              <w:t xml:space="preserve">Masonry staircase construction (reinforced)</w:t>
            </w:r>
          </w:p>
        </w:tc>
        <w:tc>
          <w:tcPr/>
          <w:p>
            <w:pPr>
              <w:pStyle w:val="Compact"/>
              <w:jc w:val="left"/>
            </w:pPr>
            <w:r>
              <w:t xml:space="preserve">ea</w:t>
            </w:r>
          </w:p>
        </w:tc>
        <w:tc>
          <w:tcPr/>
          <w:p>
            <w:pPr>
              <w:pStyle w:val="Compact"/>
              <w:jc w:val="left"/>
            </w:pPr>
            <w:r>
              <w:t xml:space="preserve">4</w:t>
            </w:r>
          </w:p>
        </w:tc>
        <w:tc>
          <w:tcPr/>
          <w:p>
            <w:pPr>
              <w:pStyle w:val="Compact"/>
              <w:jc w:val="left"/>
            </w:pPr>
            <w:r>
              <w:t xml:space="preserve">8,500,000</w:t>
            </w:r>
          </w:p>
        </w:tc>
        <w:tc>
          <w:tcPr/>
          <w:p>
            <w:pPr>
              <w:pStyle w:val="Compact"/>
              <w:jc w:val="left"/>
            </w:pPr>
            <w:r>
              <w:t xml:space="preserve">34,000,000</w:t>
            </w:r>
          </w:p>
        </w:tc>
      </w:tr>
      <w:tr>
        <w:tc>
          <w:tcPr/>
          <w:p>
            <w:pPr>
              <w:pStyle w:val="Compact"/>
              <w:jc w:val="left"/>
            </w:pPr>
            <w:r>
              <w:t xml:space="preserve">08</w:t>
            </w:r>
          </w:p>
        </w:tc>
        <w:tc>
          <w:tcPr/>
          <w:p>
            <w:pPr>
              <w:pStyle w:val="Compact"/>
              <w:jc w:val="left"/>
            </w:pPr>
            <w:r>
              <w:t xml:space="preserve">Retaining walls and site boundary masonry</w:t>
            </w:r>
          </w:p>
        </w:tc>
        <w:tc>
          <w:tcPr/>
          <w:p>
            <w:pPr>
              <w:pStyle w:val="Compact"/>
              <w:jc w:val="left"/>
            </w:pPr>
            <w:r>
              <w:t xml:space="preserve">m²</w:t>
            </w:r>
          </w:p>
        </w:tc>
        <w:tc>
          <w:tcPr/>
          <w:p>
            <w:pPr>
              <w:pStyle w:val="Compact"/>
              <w:jc w:val="left"/>
            </w:pPr>
            <w:r>
              <w:t xml:space="preserve">650</w:t>
            </w:r>
          </w:p>
        </w:tc>
        <w:tc>
          <w:tcPr/>
          <w:p>
            <w:pPr>
              <w:pStyle w:val="Compact"/>
              <w:jc w:val="left"/>
            </w:pPr>
            <w:r>
              <w:t xml:space="preserve">95,000</w:t>
            </w:r>
          </w:p>
        </w:tc>
        <w:tc>
          <w:tcPr/>
          <w:p>
            <w:pPr>
              <w:pStyle w:val="Compact"/>
              <w:jc w:val="left"/>
            </w:pPr>
            <w:r>
              <w:t xml:space="preserve">61,750,000</w:t>
            </w:r>
          </w:p>
        </w:tc>
      </w:tr>
      <w:tr>
        <w:tc>
          <w:tcPr/>
          <w:p>
            <w:pPr>
              <w:pStyle w:val="Compact"/>
              <w:jc w:val="left"/>
            </w:pPr>
            <w:r>
              <w:t xml:space="preserve">09</w:t>
            </w:r>
          </w:p>
        </w:tc>
        <w:tc>
          <w:tcPr/>
          <w:p>
            <w:pPr>
              <w:pStyle w:val="Compact"/>
              <w:jc w:val="left"/>
            </w:pPr>
            <w:r>
              <w:t xml:space="preserve">Labor – certified Mason crew (12 workers, 140 days)</w:t>
            </w:r>
          </w:p>
        </w:tc>
        <w:tc>
          <w:tcPr/>
          <w:p>
            <w:pPr>
              <w:pStyle w:val="Compact"/>
              <w:jc w:val="left"/>
            </w:pPr>
            <w:r>
              <w:t xml:space="preserve">man-day</w:t>
            </w:r>
          </w:p>
        </w:tc>
        <w:tc>
          <w:tcPr/>
          <w:p>
            <w:pPr>
              <w:pStyle w:val="Compact"/>
              <w:jc w:val="left"/>
            </w:pPr>
            <w:r>
              <w:t xml:space="preserve">1,680</w:t>
            </w:r>
          </w:p>
        </w:tc>
        <w:tc>
          <w:tcPr/>
          <w:p>
            <w:pPr>
              <w:pStyle w:val="Compact"/>
              <w:jc w:val="left"/>
            </w:pPr>
            <w:r>
              <w:t xml:space="preserve">115,000</w:t>
            </w:r>
          </w:p>
        </w:tc>
        <w:tc>
          <w:tcPr/>
          <w:p>
            <w:pPr>
              <w:pStyle w:val="Compact"/>
              <w:jc w:val="left"/>
            </w:pPr>
            <w:r>
              <w:t xml:space="preserve">193,200,000</w:t>
            </w:r>
          </w:p>
        </w:tc>
      </w:tr>
      <w:tr>
        <w:tc>
          <w:tcPr/>
          <w:p>
            <w:pPr>
              <w:pStyle w:val="Compact"/>
              <w:jc w:val="left"/>
            </w:pPr>
            <w:r>
              <w:t xml:space="preserve">10</w:t>
            </w:r>
          </w:p>
        </w:tc>
        <w:tc>
          <w:tcPr/>
          <w:p>
            <w:pPr>
              <w:pStyle w:val="Compact"/>
              <w:jc w:val="left"/>
            </w:pPr>
            <w:r>
              <w:t xml:space="preserve">Supervision, quality control, and NTC 3397 compliance inspection</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18,500,000</w:t>
            </w:r>
          </w:p>
        </w:tc>
        <w:tc>
          <w:tcPr/>
          <w:p>
            <w:pPr>
              <w:pStyle w:val="Compact"/>
              <w:jc w:val="left"/>
            </w:pPr>
            <w:r>
              <w:t xml:space="preserve">18,500,000</w:t>
            </w:r>
          </w:p>
        </w:tc>
      </w:tr>
      <w:tr>
        <w:tc>
          <w:tcPr>
            <w:gridSpan w:val="5"/>
          </w:tcPr>
          <w:p>
            <w:pPr>
              <w:pStyle w:val="Compact"/>
              <w:jc w:val="right"/>
            </w:pPr>
            <w:r>
              <w:t xml:space="preserve">SUBTOTAL</w:t>
            </w:r>
          </w:p>
        </w:tc>
        <w:tc>
          <w:tcPr/>
          <w:p>
            <w:pPr>
              <w:pStyle w:val="Compact"/>
              <w:jc w:val="left"/>
            </w:pPr>
            <w:r>
              <w:t xml:space="preserve">1,096,625,000</w:t>
            </w:r>
          </w:p>
        </w:tc>
      </w:tr>
      <w:tr>
        <w:tc>
          <w:tcPr>
            <w:gridSpan w:val="5"/>
          </w:tcPr>
          <w:p>
            <w:pPr>
              <w:pStyle w:val="Compact"/>
              <w:jc w:val="right"/>
            </w:pPr>
            <w:r>
              <w:t xml:space="preserve">IVA (19% – Colombian VAT)</w:t>
            </w:r>
          </w:p>
        </w:tc>
        <w:tc>
          <w:tcPr/>
          <w:p>
            <w:pPr>
              <w:pStyle w:val="Compact"/>
              <w:jc w:val="left"/>
            </w:pPr>
            <w:r>
              <w:t xml:space="preserve">208,358,750</w:t>
            </w:r>
          </w:p>
        </w:tc>
      </w:tr>
      <w:tr>
        <w:tc>
          <w:tcPr>
            <w:gridSpan w:val="5"/>
          </w:tcPr>
          <w:p>
            <w:pPr>
              <w:pStyle w:val="Compact"/>
              <w:jc w:val="right"/>
            </w:pPr>
            <w:r>
              <w:t xml:space="preserve">GRAND TOTAL (COP)</w:t>
            </w:r>
          </w:p>
        </w:tc>
        <w:tc>
          <w:tcPr/>
          <w:p>
            <w:pPr>
              <w:pStyle w:val="Compact"/>
              <w:jc w:val="left"/>
            </w:pPr>
            <w:r>
              <w:t xml:space="preserve">1,304,983,750</w:t>
            </w:r>
          </w:p>
        </w:tc>
      </w:tr>
    </w:tbl>
    <w:p>
      <w:pPr>
        <w:pStyle w:val="BodyText"/>
      </w:pPr>
      <w:r>
        <w:t xml:space="preserve">4. Payment Terms</w:t>
      </w:r>
    </w:p>
    <w:p>
      <w:pPr>
        <w:pStyle w:val="BodyText"/>
      </w:pPr>
      <w:r>
        <w:t xml:space="preserve">Payment for the</w:t>
      </w:r>
      <w:r>
        <w:t xml:space="preserve"> </w:t>
      </w:r>
      <w:r>
        <w:t xml:space="preserve">Mason</w:t>
      </w:r>
      <w:r>
        <w:t xml:space="preserve"> </w:t>
      </w:r>
      <w:r>
        <w:t xml:space="preserve">works described in this</w:t>
      </w:r>
      <w:r>
        <w:t xml:space="preserve"> </w:t>
      </w:r>
      <w:r>
        <w:t xml:space="preserve">Quotation Estimate</w:t>
      </w:r>
      <w:r>
        <w:t xml:space="preserve"> </w:t>
      </w:r>
      <w:r>
        <w:t xml:space="preserve">shall be made in four (4) progress installments tied to verified milestones of completion in</w:t>
      </w:r>
      <w:r>
        <w:t xml:space="preserve"> </w:t>
      </w:r>
      <w:r>
        <w:t xml:space="preserve">Colombia Bogotá</w:t>
      </w:r>
      <w:r>
        <w:t xml:space="preserve">:</w:t>
      </w:r>
    </w:p>
    <w:p>
      <w:pPr>
        <w:numPr>
          <w:ilvl w:val="0"/>
          <w:numId w:val="1002"/>
        </w:numPr>
        <w:pStyle w:val="Compact"/>
      </w:pPr>
      <w:r>
        <w:rPr>
          <w:bCs/>
          <w:b/>
        </w:rPr>
        <w:t xml:space="preserve">30%</w:t>
      </w:r>
      <w:r>
        <w:t xml:space="preserve"> </w:t>
      </w:r>
      <w:r>
        <w:t xml:space="preserve">upon signing of the contract and mobilization of the</w:t>
      </w:r>
      <w:r>
        <w:t xml:space="preserve"> </w:t>
      </w:r>
      <w:r>
        <w:t xml:space="preserve">Mason</w:t>
      </w:r>
      <w:r>
        <w:t xml:space="preserve"> </w:t>
      </w:r>
      <w:r>
        <w:t xml:space="preserve">crew to the project site.</w:t>
      </w:r>
    </w:p>
    <w:p>
      <w:pPr>
        <w:numPr>
          <w:ilvl w:val="0"/>
          <w:numId w:val="1002"/>
        </w:numPr>
        <w:pStyle w:val="Compact"/>
      </w:pPr>
      <w:r>
        <w:rPr>
          <w:bCs/>
          <w:b/>
        </w:rPr>
        <w:t xml:space="preserve">30%</w:t>
      </w:r>
      <w:r>
        <w:t xml:space="preserve"> </w:t>
      </w:r>
      <w:r>
        <w:t xml:space="preserve">upon completion of all foundation and structural masonry walls.</w:t>
      </w:r>
    </w:p>
    <w:p>
      <w:pPr>
        <w:numPr>
          <w:ilvl w:val="0"/>
          <w:numId w:val="1002"/>
        </w:numPr>
        <w:pStyle w:val="Compact"/>
      </w:pPr>
      <w:r>
        <w:rPr>
          <w:bCs/>
          <w:b/>
        </w:rPr>
        <w:t xml:space="preserve">25%</w:t>
      </w:r>
      <w:r>
        <w:t xml:space="preserve"> </w:t>
      </w:r>
      <w:r>
        <w:t xml:space="preserve">upon completion of partition walls, staircases, and retaining structures.</w:t>
      </w:r>
    </w:p>
    <w:p>
      <w:pPr>
        <w:numPr>
          <w:ilvl w:val="0"/>
          <w:numId w:val="1002"/>
        </w:numPr>
        <w:pStyle w:val="Compact"/>
      </w:pPr>
      <w:r>
        <w:rPr>
          <w:bCs/>
          <w:b/>
        </w:rPr>
        <w:t xml:space="preserve">15%</w:t>
      </w:r>
      <w:r>
        <w:t xml:space="preserve"> </w:t>
      </w:r>
      <w:r>
        <w:t xml:space="preserve">upon final inspection, curing completion, and delivery of as-built documentation.</w:t>
      </w:r>
    </w:p>
    <w:p>
      <w:pPr>
        <w:pStyle w:val="FirstParagraph"/>
      </w:pPr>
      <w:r>
        <w:t xml:space="preserve">All payments shall be made via bank transfer to the account designated by Andina Mason &amp; Construction Services S.A.S. within ten (10) business days of invoice issuance. Late payments shall accrue interest at the rate established by the Superintendencia Financiera de Colombia.</w:t>
      </w:r>
    </w:p>
    <w:p>
      <w:pPr>
        <w:pStyle w:val="BodyText"/>
      </w:pPr>
      <w:r>
        <w:t xml:space="preserve">5. Project Duration and Schedule</w:t>
      </w:r>
    </w:p>
    <w:p>
      <w:pPr>
        <w:pStyle w:val="BodyText"/>
      </w:pPr>
      <w:r>
        <w:t xml:space="preserve">The total estimated duration for all</w:t>
      </w:r>
      <w:r>
        <w:t xml:space="preserve"> </w:t>
      </w:r>
      <w:r>
        <w:t xml:space="preserve">Mason</w:t>
      </w:r>
      <w:r>
        <w:t xml:space="preserve"> </w:t>
      </w:r>
      <w:r>
        <w:t xml:space="preserve">works under this</w:t>
      </w:r>
      <w:r>
        <w:t xml:space="preserve"> </w:t>
      </w:r>
      <w:r>
        <w:t xml:space="preserve">Quotation Estimate</w:t>
      </w:r>
      <w:r>
        <w:t xml:space="preserve"> </w:t>
      </w:r>
      <w:r>
        <w:t xml:space="preserve">is one hundred forty (140) calendar days from the date of contract execution. The work schedule has been developed considering the typical weather patterns in</w:t>
      </w:r>
      <w:r>
        <w:t xml:space="preserve"> </w:t>
      </w:r>
      <w:r>
        <w:t xml:space="preserve">Colombia Bogotá</w:t>
      </w:r>
      <w:r>
        <w:t xml:space="preserve">, including the rainy season (April–May and October–November), which may affect outdoor masonry operations. A detailed Gantt chart is attached as Annex A to this</w:t>
      </w:r>
      <w:r>
        <w:t xml:space="preserve"> </w:t>
      </w:r>
      <w:r>
        <w:t xml:space="preserve">Quotation Estimate</w:t>
      </w:r>
      <w:r>
        <w:t xml:space="preserve">.</w:t>
      </w:r>
    </w:p>
    <w:p>
      <w:pPr>
        <w:pStyle w:val="BodyText"/>
      </w:pPr>
      <w:r>
        <w:t xml:space="preserve">6. Terms and Conditions</w:t>
      </w:r>
    </w:p>
    <w:p>
      <w:pPr>
        <w:numPr>
          <w:ilvl w:val="0"/>
          <w:numId w:val="1003"/>
        </w:numPr>
        <w:pStyle w:val="Compact"/>
      </w:pPr>
      <w:r>
        <w:t xml:space="preserve">This</w:t>
      </w:r>
      <w:r>
        <w:t xml:space="preserve"> </w:t>
      </w:r>
      <w:r>
        <w:t xml:space="preserve">Quotation Estimate</w:t>
      </w:r>
      <w:r>
        <w:t xml:space="preserve"> </w:t>
      </w:r>
      <w:r>
        <w:t xml:space="preserve">is valid for thirty (30) calendar days from the date of issue. After this period, prices may be adjusted to reflect changes in material costs in the</w:t>
      </w:r>
      <w:r>
        <w:t xml:space="preserve"> </w:t>
      </w:r>
      <w:r>
        <w:t xml:space="preserve">Colombia Bogotá</w:t>
      </w:r>
      <w:r>
        <w:t xml:space="preserve"> </w:t>
      </w:r>
      <w:r>
        <w:t xml:space="preserve">market.</w:t>
      </w:r>
    </w:p>
    <w:p>
      <w:pPr>
        <w:numPr>
          <w:ilvl w:val="0"/>
          <w:numId w:val="1003"/>
        </w:numPr>
        <w:pStyle w:val="Compact"/>
      </w:pPr>
      <w:r>
        <w:t xml:space="preserve">All</w:t>
      </w:r>
      <w:r>
        <w:t xml:space="preserve"> </w:t>
      </w:r>
      <w:r>
        <w:t xml:space="preserve">Mason</w:t>
      </w:r>
      <w:r>
        <w:t xml:space="preserve"> </w:t>
      </w:r>
      <w:r>
        <w:t xml:space="preserve">labor shall comply with Colombian labor law (Código Sustantivo del Trabajo) and the workers shall be registered with the Colombian Social Security System (Pensión, Salud, ARL).</w:t>
      </w:r>
    </w:p>
    <w:p>
      <w:pPr>
        <w:numPr>
          <w:ilvl w:val="0"/>
          <w:numId w:val="1003"/>
        </w:numPr>
        <w:pStyle w:val="Compact"/>
      </w:pPr>
      <w:r>
        <w:t xml:space="preserve">The</w:t>
      </w:r>
      <w:r>
        <w:t xml:space="preserve"> </w:t>
      </w:r>
      <w:r>
        <w:t xml:space="preserve">Mason</w:t>
      </w:r>
      <w:r>
        <w:t xml:space="preserve"> </w:t>
      </w:r>
      <w:r>
        <w:t xml:space="preserve">crew shall adhere to all occupational health and safety regulations established by the Ministerio del Trabajo de Colombia.</w:t>
      </w:r>
    </w:p>
    <w:p>
      <w:pPr>
        <w:numPr>
          <w:ilvl w:val="0"/>
          <w:numId w:val="1003"/>
        </w:numPr>
        <w:pStyle w:val="Compact"/>
      </w:pPr>
      <w:r>
        <w:t xml:space="preserve">Materials shall meet the specifications of the Colombian technical standards (NTC) and shall be sourced from approved suppliers within the</w:t>
      </w:r>
      <w:r>
        <w:t xml:space="preserve"> </w:t>
      </w:r>
      <w:r>
        <w:t xml:space="preserve">Colombia Bogotá</w:t>
      </w:r>
      <w:r>
        <w:t xml:space="preserve"> </w:t>
      </w:r>
      <w:r>
        <w:t xml:space="preserve">region.</w:t>
      </w:r>
    </w:p>
    <w:p>
      <w:pPr>
        <w:numPr>
          <w:ilvl w:val="0"/>
          <w:numId w:val="1003"/>
        </w:numPr>
        <w:pStyle w:val="Compact"/>
      </w:pPr>
      <w:r>
        <w:t xml:space="preserve">Any changes in scope, additional</w:t>
      </w:r>
      <w:r>
        <w:t xml:space="preserve"> </w:t>
      </w:r>
      <w:r>
        <w:t xml:space="preserve">Mason</w:t>
      </w:r>
      <w:r>
        <w:t xml:space="preserve"> </w:t>
      </w:r>
      <w:r>
        <w:t xml:space="preserve">works, or modifications to the original plans shall be subject to a revised</w:t>
      </w:r>
      <w:r>
        <w:t xml:space="preserve"> </w:t>
      </w:r>
      <w:r>
        <w:t xml:space="preserve">Quotation Estimate</w:t>
      </w:r>
      <w:r>
        <w:t xml:space="preserve"> </w:t>
      </w:r>
      <w:r>
        <w:t xml:space="preserve">issued in writing and approved by both parties before execution.</w:t>
      </w:r>
    </w:p>
    <w:p>
      <w:pPr>
        <w:numPr>
          <w:ilvl w:val="0"/>
          <w:numId w:val="1003"/>
        </w:numPr>
        <w:pStyle w:val="Compact"/>
      </w:pPr>
      <w:r>
        <w:t xml:space="preserve">The contractor shall provide a twelve (12) month warranty on all masonry works from the date of final acceptance.</w:t>
      </w:r>
    </w:p>
    <w:p>
      <w:pPr>
        <w:numPr>
          <w:ilvl w:val="0"/>
          <w:numId w:val="1003"/>
        </w:numPr>
        <w:pStyle w:val="Compact"/>
      </w:pPr>
      <w:r>
        <w:t xml:space="preserve">This</w:t>
      </w:r>
      <w:r>
        <w:t xml:space="preserve"> </w:t>
      </w:r>
      <w:r>
        <w:t xml:space="preserve">Quotation Estimate</w:t>
      </w:r>
      <w:r>
        <w:t xml:space="preserve"> </w:t>
      </w:r>
      <w:r>
        <w:t xml:space="preserve">does not constitute a binding contract until both parties have signed the formal construction contract incorporating these terms.</w:t>
      </w:r>
    </w:p>
    <w:p>
      <w:pPr>
        <w:pStyle w:val="FirstParagraph"/>
      </w:pPr>
      <w:r>
        <w:rPr>
          <w:bCs/>
          <w:b/>
        </w:rPr>
        <w:t xml:space="preserve">Important Note:</w:t>
      </w:r>
      <w:r>
        <w:t xml:space="preserve"> </w:t>
      </w:r>
      <w:r>
        <w:t xml:space="preserve">This</w:t>
      </w:r>
      <w:r>
        <w:t xml:space="preserve"> </w:t>
      </w:r>
      <w:r>
        <w:t xml:space="preserve">Quotation Estimate</w:t>
      </w:r>
      <w:r>
        <w:t xml:space="preserve"> </w:t>
      </w:r>
      <w:r>
        <w:t xml:space="preserve">for</w:t>
      </w:r>
      <w:r>
        <w:t xml:space="preserve"> </w:t>
      </w:r>
      <w:r>
        <w:t xml:space="preserve">Mason</w:t>
      </w:r>
      <w:r>
        <w:t xml:space="preserve"> </w:t>
      </w:r>
      <w:r>
        <w:t xml:space="preserve">services in</w:t>
      </w:r>
      <w:r>
        <w:t xml:space="preserve"> </w:t>
      </w:r>
      <w:r>
        <w:t xml:space="preserve">Colombia Bogotá</w:t>
      </w:r>
      <w:r>
        <w:t xml:space="preserve"> </w:t>
      </w:r>
      <w:r>
        <w:t xml:space="preserve">assumes that the client will provide access to the site, temporary utilities (water and electricity), and that all necessary construction permits from the Secretaría de Planeación Distrital de Bogotá have been obtained prior to the commencement of work. Any delays caused by permitting or site access issues shall extend the project timeline accordingly without additional cost to the contractor.</w:t>
      </w:r>
    </w:p>
    <w:p>
      <w:pPr>
        <w:pStyle w:val="BodyText"/>
      </w:pPr>
      <w:r>
        <w:t xml:space="preserve">7. Acceptance and Authorization</w:t>
      </w:r>
    </w:p>
    <w:p>
      <w:pPr>
        <w:pStyle w:val="BodyText"/>
      </w:pPr>
      <w:r>
        <w:t xml:space="preserve">By signing below, both parties acknowledge that they have reviewed and accepted the terms, conditions, and pricing outlined in this</w:t>
      </w:r>
      <w:r>
        <w:t xml:space="preserve"> </w:t>
      </w:r>
      <w:r>
        <w:t xml:space="preserve">Quotation Estimate</w:t>
      </w:r>
      <w:r>
        <w:t xml:space="preserve"> </w:t>
      </w:r>
      <w:r>
        <w:t xml:space="preserve">for</w:t>
      </w:r>
      <w:r>
        <w:t xml:space="preserve"> </w:t>
      </w:r>
      <w:r>
        <w:t xml:space="preserve">Mason</w:t>
      </w:r>
      <w:r>
        <w:t xml:space="preserve"> </w:t>
      </w:r>
      <w:r>
        <w:t xml:space="preserve">works in</w:t>
      </w:r>
      <w:r>
        <w:t xml:space="preserve"> </w:t>
      </w:r>
      <w:r>
        <w:t xml:space="preserve">Colombia Bogotá</w:t>
      </w:r>
      <w:r>
        <w:t xml:space="preserve">.</w:t>
      </w:r>
    </w:p>
    <w:p>
      <w:pPr>
        <w:pStyle w:val="BodyText"/>
      </w:pPr>
      <w:r>
        <w:rPr>
          <w:bCs/>
          <w:b/>
        </w:rPr>
        <w:t xml:space="preserve">Andina Mason &amp; Construction Services S.A.S.</w:t>
      </w:r>
      <w:r>
        <w:br/>
      </w:r>
      <w:r>
        <w:t xml:space="preserve">Representative: Carlos Alberto Mendoza</w:t>
      </w:r>
      <w:r>
        <w:br/>
      </w:r>
      <w:r>
        <w:t xml:space="preserve">C.C. 79.456.123 de Bogotá</w:t>
      </w:r>
      <w:r>
        <w:br/>
      </w:r>
      <w:r>
        <w:t xml:space="preserve">Date: _______________</w:t>
      </w:r>
    </w:p>
    <w:p>
      <w:pPr>
        <w:pStyle w:val="BodyText"/>
      </w:pPr>
      <w:r>
        <w:rPr>
          <w:bCs/>
          <w:b/>
        </w:rPr>
        <w:t xml:space="preserve">Constructora del Valle S.A.S. (Client)</w:t>
      </w:r>
      <w:r>
        <w:br/>
      </w:r>
      <w:r>
        <w:t xml:space="preserve">Representative: Ing. María Fernanda Restrepo</w:t>
      </w:r>
      <w:r>
        <w:br/>
      </w:r>
      <w:r>
        <w:t xml:space="preserve">C.C. 52.789.456 de Bogotá</w:t>
      </w:r>
      <w:r>
        <w:br/>
      </w:r>
      <w:r>
        <w:t xml:space="preserve">Date: _______________</w:t>
      </w:r>
    </w:p>
    <w:p>
      <w:pPr>
        <w:pStyle w:val="BodyText"/>
      </w:pPr>
      <w:r>
        <w:t xml:space="preserve">Quotation Estimate QTE-2025-04871 | Andina Mason &amp; Construction Services S.A.S. | Colombia Bogotá</w:t>
      </w:r>
    </w:p>
    <w:p>
      <w:pPr>
        <w:pStyle w:val="BodyText"/>
      </w:pPr>
      <w:r>
        <w:t xml:space="preserve">This document is confidential and intended solely for the named recipient. Unauthorized reproduction or distribution is prohibited.</w:t>
      </w:r>
    </w:p>
    <w:p>
      <w:pPr>
        <w:pStyle w:val="BodyText"/>
      </w:pPr>
      <w:r>
        <w:t xml:space="preserve">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Mason Services - Colombia Bogotá</dc:title>
  <dc:creator/>
  <dc:language>en</dc:language>
  <cp:keywords/>
  <dcterms:created xsi:type="dcterms:W3CDTF">2026-10-10T07:00:01Z</dcterms:created>
  <dcterms:modified xsi:type="dcterms:W3CDTF">2026-10-10T07:00:01Z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