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Mason &amp; Masonry Services | Egypt Alexandria</w:t>
      </w:r>
    </w:p>
    <w:p>
      <w:pPr>
        <w:pStyle w:val="BodyText"/>
      </w:pPr>
      <w:r>
        <w:t xml:space="preserve">Document Reference: QE-ALX-2025-0472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12, 2025</w:t>
            </w:r>
          </w:p>
        </w:tc>
        <w:tc>
          <w:tcPr/>
          <w:p>
            <w:pPr>
              <w:pStyle w:val="Compact"/>
              <w:jc w:val="left"/>
            </w:pPr>
            <w:r>
              <w:t xml:space="preserve">Validity Period:</w:t>
            </w:r>
          </w:p>
        </w:tc>
        <w:tc>
          <w:tcPr/>
          <w:p>
            <w:pPr>
              <w:pStyle w:val="Compact"/>
              <w:jc w:val="left"/>
            </w:pPr>
            <w:r>
              <w:t xml:space="preserve">30 Calendar Days</w:t>
            </w:r>
          </w:p>
        </w:tc>
      </w:tr>
      <w:tr>
        <w:tc>
          <w:tcPr/>
          <w:p>
            <w:pPr>
              <w:pStyle w:val="Compact"/>
              <w:jc w:val="left"/>
            </w:pPr>
            <w:r>
              <w:t xml:space="preserve">Prepared By:</w:t>
            </w:r>
          </w:p>
        </w:tc>
        <w:tc>
          <w:tcPr/>
          <w:p>
            <w:pPr>
              <w:pStyle w:val="Compact"/>
              <w:jc w:val="left"/>
            </w:pPr>
            <w:r>
              <w:t xml:space="preserve">Alexandria Mason &amp; Construction Co.</w:t>
            </w:r>
          </w:p>
        </w:tc>
        <w:tc>
          <w:tcPr/>
          <w:p>
            <w:pPr>
              <w:pStyle w:val="Compact"/>
              <w:jc w:val="left"/>
            </w:pPr>
            <w:r>
              <w:t xml:space="preserve">Quotation No.:</w:t>
            </w:r>
          </w:p>
        </w:tc>
        <w:tc>
          <w:tcPr/>
          <w:p>
            <w:pPr>
              <w:pStyle w:val="Compact"/>
              <w:jc w:val="left"/>
            </w:pPr>
            <w:r>
              <w:t xml:space="preserve">QE-ALX-2025-0472</w:t>
            </w:r>
          </w:p>
        </w:tc>
      </w:tr>
      <w:tr>
        <w:tc>
          <w:tcPr/>
          <w:p>
            <w:pPr>
              <w:pStyle w:val="Compact"/>
              <w:jc w:val="left"/>
            </w:pPr>
            <w:r>
              <w:t xml:space="preserve">Client Name:</w:t>
            </w:r>
          </w:p>
        </w:tc>
        <w:tc>
          <w:tcPr/>
          <w:p>
            <w:pPr>
              <w:pStyle w:val="Compact"/>
              <w:jc w:val="left"/>
            </w:pPr>
            <w:r>
              <w:t xml:space="preserve">Mr. Ahmed El-Sayed Hassan</w:t>
            </w:r>
          </w:p>
        </w:tc>
        <w:tc>
          <w:tcPr/>
          <w:p>
            <w:pPr>
              <w:pStyle w:val="Compact"/>
              <w:jc w:val="left"/>
            </w:pPr>
            <w:r>
              <w:t xml:space="preserve">Project Location:</w:t>
            </w:r>
          </w:p>
        </w:tc>
        <w:tc>
          <w:tcPr/>
          <w:p>
            <w:pPr>
              <w:pStyle w:val="Compact"/>
              <w:jc w:val="left"/>
            </w:pPr>
            <w:r>
              <w:t xml:space="preserve">Smouha District, Egypt Alexandria</w:t>
            </w:r>
          </w:p>
        </w:tc>
      </w:tr>
      <w:tr>
        <w:tc>
          <w:tcPr/>
          <w:p>
            <w:pPr>
              <w:pStyle w:val="Compact"/>
              <w:jc w:val="left"/>
            </w:pPr>
            <w:r>
              <w:t xml:space="preserve">Contact Number:</w:t>
            </w:r>
          </w:p>
        </w:tc>
        <w:tc>
          <w:tcPr/>
          <w:p>
            <w:pPr>
              <w:pStyle w:val="Compact"/>
              <w:jc w:val="left"/>
            </w:pPr>
            <w:r>
              <w:t xml:space="preserve">+20 3 552 8841</w:t>
            </w:r>
          </w:p>
        </w:tc>
        <w:tc>
          <w:tcPr/>
          <w:p>
            <w:pPr>
              <w:pStyle w:val="Compact"/>
              <w:jc w:val="left"/>
            </w:pPr>
            <w:r>
              <w:t xml:space="preserve">Email:</w:t>
            </w:r>
          </w:p>
        </w:tc>
        <w:tc>
          <w:tcPr/>
          <w:p>
            <w:pPr>
              <w:pStyle w:val="Compact"/>
              <w:jc w:val="left"/>
            </w:pPr>
            <w:r>
              <w:t xml:space="preserve">info@alexandriamason.com.eg</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Alexandria Mason &amp; Construction Co., a licensed and registered masonry firm operating within the governorate of Egypt Alexandria. We are pleased to present this detailed estimate for the comprehensive masonry works required at the client's residential property located in the Smouha District. Our team of experienced</w:t>
      </w:r>
      <w:r>
        <w:t xml:space="preserve"> </w:t>
      </w:r>
      <w:r>
        <w:t xml:space="preserve">Mason</w:t>
      </w:r>
      <w:r>
        <w:t xml:space="preserve"> </w:t>
      </w:r>
      <w:r>
        <w:t xml:space="preserve">professionals has conducted a thorough site assessment and prepared this document to ensure full transparency regarding all costs, materials, labor, and timelines associated with the project.</w:t>
      </w:r>
    </w:p>
    <w:p>
      <w:pPr>
        <w:pStyle w:val="BodyText"/>
      </w:pPr>
      <w:r>
        <w:t xml:space="preserve">The scope of work encompasses the construction of a two-storey masonry extension, including foundation reinforcement, load-bearing wall construction, interior partition walls, exterior plastering, and decorative stone finishing on the ground-floor facade. All masonry work will be executed in strict accordance with Egyptian Building Code standards and the municipal regulations governing construction activities in Egypt Alexandria.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Foundation masonry reinforcement using C25 concrete and reinforced steel mesh (Mason-supervised)</w:t>
            </w:r>
          </w:p>
        </w:tc>
        <w:tc>
          <w:tcPr/>
          <w:p>
            <w:pPr>
              <w:pStyle w:val="Compact"/>
              <w:jc w:val="left"/>
            </w:pPr>
            <w:r>
              <w:t xml:space="preserve">m³</w:t>
            </w:r>
          </w:p>
        </w:tc>
        <w:tc>
          <w:tcPr/>
          <w:p>
            <w:pPr>
              <w:pStyle w:val="Compact"/>
              <w:jc w:val="left"/>
            </w:pPr>
            <w:r>
              <w:t xml:space="preserve">18.5</w:t>
            </w:r>
          </w:p>
        </w:tc>
        <w:tc>
          <w:tcPr/>
          <w:p>
            <w:pPr>
              <w:pStyle w:val="Compact"/>
              <w:jc w:val="left"/>
            </w:pPr>
            <w:r>
              <w:t xml:space="preserve">4,200</w:t>
            </w:r>
          </w:p>
        </w:tc>
        <w:tc>
          <w:tcPr/>
          <w:p>
            <w:pPr>
              <w:pStyle w:val="Compact"/>
              <w:jc w:val="left"/>
            </w:pPr>
            <w:r>
              <w:t xml:space="preserve">77,700</w:t>
            </w:r>
          </w:p>
        </w:tc>
      </w:tr>
      <w:tr>
        <w:tc>
          <w:tcPr/>
          <w:p>
            <w:pPr>
              <w:pStyle w:val="Compact"/>
              <w:jc w:val="left"/>
            </w:pPr>
            <w:r>
              <w:t xml:space="preserve">02</w:t>
            </w:r>
          </w:p>
        </w:tc>
        <w:tc>
          <w:tcPr/>
          <w:p>
            <w:pPr>
              <w:pStyle w:val="Compact"/>
              <w:jc w:val="left"/>
            </w:pPr>
            <w:r>
              <w:t xml:space="preserve">Load-bearing wall construction – solid clay bricks, 20 cm thickness, with cement mortar (1:5 ratio)</w:t>
            </w:r>
          </w:p>
        </w:tc>
        <w:tc>
          <w:tcPr/>
          <w:p>
            <w:pPr>
              <w:pStyle w:val="Compact"/>
              <w:jc w:val="left"/>
            </w:pPr>
            <w:r>
              <w:t xml:space="preserve">m²</w:t>
            </w:r>
          </w:p>
        </w:tc>
        <w:tc>
          <w:tcPr/>
          <w:p>
            <w:pPr>
              <w:pStyle w:val="Compact"/>
              <w:jc w:val="left"/>
            </w:pPr>
            <w:r>
              <w:t xml:space="preserve">142</w:t>
            </w:r>
          </w:p>
        </w:tc>
        <w:tc>
          <w:tcPr/>
          <w:p>
            <w:pPr>
              <w:pStyle w:val="Compact"/>
              <w:jc w:val="left"/>
            </w:pPr>
            <w:r>
              <w:t xml:space="preserve">680</w:t>
            </w:r>
          </w:p>
        </w:tc>
        <w:tc>
          <w:tcPr/>
          <w:p>
            <w:pPr>
              <w:pStyle w:val="Compact"/>
              <w:jc w:val="left"/>
            </w:pPr>
            <w:r>
              <w:t xml:space="preserve">96,560</w:t>
            </w:r>
          </w:p>
        </w:tc>
      </w:tr>
      <w:tr>
        <w:tc>
          <w:tcPr/>
          <w:p>
            <w:pPr>
              <w:pStyle w:val="Compact"/>
              <w:jc w:val="left"/>
            </w:pPr>
            <w:r>
              <w:t xml:space="preserve">03</w:t>
            </w:r>
          </w:p>
        </w:tc>
        <w:tc>
          <w:tcPr/>
          <w:p>
            <w:pPr>
              <w:pStyle w:val="Compact"/>
              <w:jc w:val="left"/>
            </w:pPr>
            <w:r>
              <w:t xml:space="preserve">Interior partition walls – hollow concrete blocks, 10 cm thickness</w:t>
            </w:r>
          </w:p>
        </w:tc>
        <w:tc>
          <w:tcPr/>
          <w:p>
            <w:pPr>
              <w:pStyle w:val="Compact"/>
              <w:jc w:val="left"/>
            </w:pPr>
            <w:r>
              <w:t xml:space="preserve">m²</w:t>
            </w:r>
          </w:p>
        </w:tc>
        <w:tc>
          <w:tcPr/>
          <w:p>
            <w:pPr>
              <w:pStyle w:val="Compact"/>
              <w:jc w:val="left"/>
            </w:pPr>
            <w:r>
              <w:t xml:space="preserve">96</w:t>
            </w:r>
          </w:p>
        </w:tc>
        <w:tc>
          <w:tcPr/>
          <w:p>
            <w:pPr>
              <w:pStyle w:val="Compact"/>
              <w:jc w:val="left"/>
            </w:pPr>
            <w:r>
              <w:t xml:space="preserve">420</w:t>
            </w:r>
          </w:p>
        </w:tc>
        <w:tc>
          <w:tcPr/>
          <w:p>
            <w:pPr>
              <w:pStyle w:val="Compact"/>
              <w:jc w:val="left"/>
            </w:pPr>
            <w:r>
              <w:t xml:space="preserve">40,320</w:t>
            </w:r>
          </w:p>
        </w:tc>
      </w:tr>
      <w:tr>
        <w:tc>
          <w:tcPr/>
          <w:p>
            <w:pPr>
              <w:pStyle w:val="Compact"/>
              <w:jc w:val="left"/>
            </w:pPr>
            <w:r>
              <w:t xml:space="preserve">04</w:t>
            </w:r>
          </w:p>
        </w:tc>
        <w:tc>
          <w:tcPr/>
          <w:p>
            <w:pPr>
              <w:pStyle w:val="Compact"/>
              <w:jc w:val="left"/>
            </w:pPr>
            <w:r>
              <w:t xml:space="preserve">Exterior plastering – two-coat cement render with waterproofing additive</w:t>
            </w:r>
          </w:p>
        </w:tc>
        <w:tc>
          <w:tcPr/>
          <w:p>
            <w:pPr>
              <w:pStyle w:val="Compact"/>
              <w:jc w:val="left"/>
            </w:pPr>
            <w:r>
              <w:t xml:space="preserve">m²</w:t>
            </w:r>
          </w:p>
        </w:tc>
        <w:tc>
          <w:tcPr/>
          <w:p>
            <w:pPr>
              <w:pStyle w:val="Compact"/>
              <w:jc w:val="left"/>
            </w:pPr>
            <w:r>
              <w:t xml:space="preserve">210</w:t>
            </w:r>
          </w:p>
        </w:tc>
        <w:tc>
          <w:tcPr/>
          <w:p>
            <w:pPr>
              <w:pStyle w:val="Compact"/>
              <w:jc w:val="left"/>
            </w:pPr>
            <w:r>
              <w:t xml:space="preserve">350</w:t>
            </w:r>
          </w:p>
        </w:tc>
        <w:tc>
          <w:tcPr/>
          <w:p>
            <w:pPr>
              <w:pStyle w:val="Compact"/>
              <w:jc w:val="left"/>
            </w:pPr>
            <w:r>
              <w:t xml:space="preserve">73,500</w:t>
            </w:r>
          </w:p>
        </w:tc>
      </w:tr>
      <w:tr>
        <w:tc>
          <w:tcPr/>
          <w:p>
            <w:pPr>
              <w:pStyle w:val="Compact"/>
              <w:jc w:val="left"/>
            </w:pPr>
            <w:r>
              <w:t xml:space="preserve">05</w:t>
            </w:r>
          </w:p>
        </w:tc>
        <w:tc>
          <w:tcPr/>
          <w:p>
            <w:pPr>
              <w:pStyle w:val="Compact"/>
              <w:jc w:val="left"/>
            </w:pPr>
            <w:r>
              <w:t xml:space="preserve">Decorative natural stone cladding – ground-floor facade (local Alexandria limestone)</w:t>
            </w:r>
          </w:p>
        </w:tc>
        <w:tc>
          <w:tcPr/>
          <w:p>
            <w:pPr>
              <w:pStyle w:val="Compact"/>
              <w:jc w:val="left"/>
            </w:pPr>
            <w:r>
              <w:t xml:space="preserve">m²</w:t>
            </w:r>
          </w:p>
        </w:tc>
        <w:tc>
          <w:tcPr/>
          <w:p>
            <w:pPr>
              <w:pStyle w:val="Compact"/>
              <w:jc w:val="left"/>
            </w:pPr>
            <w:r>
              <w:t xml:space="preserve">64</w:t>
            </w:r>
          </w:p>
        </w:tc>
        <w:tc>
          <w:tcPr/>
          <w:p>
            <w:pPr>
              <w:pStyle w:val="Compact"/>
              <w:jc w:val="left"/>
            </w:pPr>
            <w:r>
              <w:t xml:space="preserve">1,850</w:t>
            </w:r>
          </w:p>
        </w:tc>
        <w:tc>
          <w:tcPr/>
          <w:p>
            <w:pPr>
              <w:pStyle w:val="Compact"/>
              <w:jc w:val="left"/>
            </w:pPr>
            <w:r>
              <w:t xml:space="preserve">118,400</w:t>
            </w:r>
          </w:p>
        </w:tc>
      </w:tr>
      <w:tr>
        <w:tc>
          <w:tcPr/>
          <w:p>
            <w:pPr>
              <w:pStyle w:val="Compact"/>
              <w:jc w:val="left"/>
            </w:pPr>
            <w:r>
              <w:t xml:space="preserve">06</w:t>
            </w:r>
          </w:p>
        </w:tc>
        <w:tc>
          <w:tcPr/>
          <w:p>
            <w:pPr>
              <w:pStyle w:val="Compact"/>
              <w:jc w:val="left"/>
            </w:pPr>
            <w:r>
              <w:t xml:space="preserve">Lintels, sills, and structural masonry elements (precast concrete)</w:t>
            </w:r>
          </w:p>
        </w:tc>
        <w:tc>
          <w:tcPr/>
          <w:p>
            <w:pPr>
              <w:pStyle w:val="Compact"/>
              <w:jc w:val="left"/>
            </w:pPr>
            <w:r>
              <w:t xml:space="preserve">pcs</w:t>
            </w:r>
          </w:p>
        </w:tc>
        <w:tc>
          <w:tcPr/>
          <w:p>
            <w:pPr>
              <w:pStyle w:val="Compact"/>
              <w:jc w:val="left"/>
            </w:pPr>
            <w:r>
              <w:t xml:space="preserve">22</w:t>
            </w:r>
          </w:p>
        </w:tc>
        <w:tc>
          <w:tcPr/>
          <w:p>
            <w:pPr>
              <w:pStyle w:val="Compact"/>
              <w:jc w:val="left"/>
            </w:pPr>
            <w:r>
              <w:t xml:space="preserve">1,200</w:t>
            </w:r>
          </w:p>
        </w:tc>
        <w:tc>
          <w:tcPr/>
          <w:p>
            <w:pPr>
              <w:pStyle w:val="Compact"/>
              <w:jc w:val="left"/>
            </w:pPr>
            <w:r>
              <w:t xml:space="preserve">26,400</w:t>
            </w:r>
          </w:p>
        </w:tc>
      </w:tr>
      <w:tr>
        <w:tc>
          <w:tcPr/>
          <w:p>
            <w:pPr>
              <w:pStyle w:val="Compact"/>
              <w:jc w:val="left"/>
            </w:pPr>
            <w:r>
              <w:t xml:space="preserve">07</w:t>
            </w:r>
          </w:p>
        </w:tc>
        <w:tc>
          <w:tcPr/>
          <w:p>
            <w:pPr>
              <w:pStyle w:val="Compact"/>
              <w:jc w:val="left"/>
            </w:pPr>
            <w:r>
              <w:t xml:space="preserve">Skilled Mason labor, site supervision, and project management (full duration)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Scaffolding, formwork, and temporary masonry support structures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09</w:t>
            </w:r>
          </w:p>
        </w:tc>
        <w:tc>
          <w:tcPr/>
          <w:p>
            <w:pPr>
              <w:pStyle w:val="Compact"/>
              <w:jc w:val="left"/>
            </w:pPr>
            <w:r>
              <w:t xml:space="preserve">Waste removal, site cleanup, and compliance with Egypt Alexandria municipal regulations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gridSpan w:val="5"/>
          </w:tcPr>
          <w:p>
            <w:pPr>
              <w:pStyle w:val="Compact"/>
              <w:jc w:val="left"/>
            </w:pPr>
            <w:r>
              <w:t xml:space="preserve">SUBTOTAL</w:t>
            </w:r>
          </w:p>
        </w:tc>
        <w:tc>
          <w:tcPr/>
          <w:p>
            <w:pPr>
              <w:pStyle w:val="Compact"/>
              <w:jc w:val="left"/>
            </w:pPr>
            <w:r>
              <w:t xml:space="preserve">552,380</w:t>
            </w:r>
          </w:p>
        </w:tc>
      </w:tr>
      <w:tr>
        <w:tc>
          <w:tcPr>
            <w:gridSpan w:val="5"/>
          </w:tcPr>
          <w:p>
            <w:pPr>
              <w:pStyle w:val="Compact"/>
              <w:jc w:val="left"/>
            </w:pPr>
            <w:r>
              <w:t xml:space="preserve">VAT (14% – Egyptian Tax Authority)</w:t>
            </w:r>
          </w:p>
        </w:tc>
        <w:tc>
          <w:tcPr/>
          <w:p>
            <w:pPr>
              <w:pStyle w:val="Compact"/>
              <w:jc w:val="left"/>
            </w:pPr>
            <w:r>
              <w:t xml:space="preserve">77,333</w:t>
            </w:r>
          </w:p>
        </w:tc>
      </w:tr>
      <w:tr>
        <w:tc>
          <w:tcPr>
            <w:gridSpan w:val="5"/>
          </w:tcPr>
          <w:p>
            <w:pPr>
              <w:pStyle w:val="Compact"/>
              <w:jc w:val="left"/>
            </w:pPr>
            <w:r>
              <w:t xml:space="preserve">GRAND TOTAL (EGP)</w:t>
            </w:r>
          </w:p>
        </w:tc>
        <w:tc>
          <w:tcPr/>
          <w:p>
            <w:pPr>
              <w:pStyle w:val="Compact"/>
              <w:jc w:val="left"/>
            </w:pPr>
            <w:r>
              <w:t xml:space="preserve">629,713</w:t>
            </w:r>
          </w:p>
        </w:tc>
      </w:tr>
    </w:tbl>
    <w:bookmarkEnd w:id="22"/>
    <w:bookmarkStart w:id="23" w:name="project-timeline"/>
    <w:p>
      <w:pPr>
        <w:pStyle w:val="Heading2"/>
      </w:pPr>
      <w:r>
        <w:t xml:space="preserve">3. Project Timeline</w:t>
      </w:r>
    </w:p>
    <w:p>
      <w:pPr>
        <w:pStyle w:val="FirstParagraph"/>
      </w:pPr>
      <w:r>
        <w:t xml:space="preserve">The estimated duration for completion of all masonry works outlined in this</w:t>
      </w:r>
      <w:r>
        <w:t xml:space="preserve"> </w:t>
      </w:r>
      <w:r>
        <w:t xml:space="preserve">Quotation Estimate</w:t>
      </w:r>
      <w:r>
        <w:t xml:space="preserve"> </w:t>
      </w:r>
      <w:r>
        <w:t xml:space="preserve">is</w:t>
      </w:r>
      <w:r>
        <w:t xml:space="preserve"> </w:t>
      </w:r>
      <w:r>
        <w:rPr>
          <w:bCs/>
          <w:b/>
        </w:rPr>
        <w:t xml:space="preserve">eleven (11) working weeks</w:t>
      </w:r>
      <w:r>
        <w:t xml:space="preserve">, commencing from the date of contract signing and receipt of the initial payment. The timeline has been calibrated to account for seasonal weather conditions typical of Egypt Alexandria, including the higher humidity levels during the summer months, which may affect mortar curing times. Our lead</w:t>
      </w:r>
      <w:r>
        <w:t xml:space="preserve"> </w:t>
      </w:r>
      <w:r>
        <w:t xml:space="preserve">Mason</w:t>
      </w:r>
      <w:r>
        <w:t xml:space="preserve"> </w:t>
      </w:r>
      <w:r>
        <w:t xml:space="preserve">and site engineer will provide weekly progress reports to the client throughout the project duration.</w:t>
      </w:r>
    </w:p>
    <w:bookmarkEnd w:id="23"/>
    <w:bookmarkStart w:id="24" w:name="payment-schedule"/>
    <w:p>
      <w:pPr>
        <w:pStyle w:val="Heading2"/>
      </w:pPr>
      <w:r>
        <w:t xml:space="preserve">4. Payment Schedule</w:t>
      </w:r>
    </w:p>
    <w:p>
      <w:pPr>
        <w:pStyle w:val="FirstParagraph"/>
      </w:pPr>
      <w:r>
        <w:t xml:space="preserve">Payment shall be structured as follows: 30% advance payment upon contract execution; 40% upon completion of structural masonry (walls and foundation); 20% upon completion of plastering and stone cladding; and the remaining 10% upon final inspection, sign-off, and handover of the completed works. All payments are to be made in Egyptian Pounds (EGP) via bank transfer to the account designated in the contract annex.</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expiry due to potential fluctuations in material costs within the Egypt Alexandria market.</w:t>
      </w:r>
    </w:p>
    <w:p>
      <w:pPr>
        <w:numPr>
          <w:ilvl w:val="0"/>
          <w:numId w:val="1001"/>
        </w:numPr>
        <w:pStyle w:val="Compact"/>
      </w:pPr>
      <w:r>
        <w:t xml:space="preserve">All masonry work is guaranteed for a period of twenty-four (24) months from the date of final acceptance, covering structural integrity, mortar adhesion, and plastering defects.</w:t>
      </w:r>
    </w:p>
    <w:p>
      <w:pPr>
        <w:numPr>
          <w:ilvl w:val="0"/>
          <w:numId w:val="1001"/>
        </w:numPr>
        <w:pStyle w:val="Compact"/>
      </w:pPr>
      <w:r>
        <w:t xml:space="preserve">The client is responsible for obtaining all necessary building permits and approvals from the Alexandria Governorate Municipal Authority prior to the commencement of works.</w:t>
      </w:r>
    </w:p>
    <w:p>
      <w:pPr>
        <w:numPr>
          <w:ilvl w:val="0"/>
          <w:numId w:val="1001"/>
        </w:numPr>
        <w:pStyle w:val="Compact"/>
      </w:pPr>
      <w:r>
        <w:t xml:space="preserve">Any additional or variation works beyond the scope defined in this estimate shall be subject to a separate written amendment and additional</w:t>
      </w:r>
      <w:r>
        <w:t xml:space="preserve"> </w:t>
      </w:r>
      <w:r>
        <w:t xml:space="preserve">Quotation Estimate</w:t>
      </w:r>
      <w:r>
        <w:t xml:space="preserve"> </w:t>
      </w:r>
      <w:r>
        <w:t xml:space="preserve">approved by both parties.</w:t>
      </w:r>
    </w:p>
    <w:p>
      <w:pPr>
        <w:numPr>
          <w:ilvl w:val="0"/>
          <w:numId w:val="1001"/>
        </w:numPr>
        <w:pStyle w:val="Compact"/>
      </w:pPr>
      <w:r>
        <w:t xml:space="preserve">Our</w:t>
      </w:r>
      <w:r>
        <w:t xml:space="preserve"> </w:t>
      </w:r>
      <w:r>
        <w:t xml:space="preserve">Mason</w:t>
      </w:r>
      <w:r>
        <w:t xml:space="preserve"> </w:t>
      </w:r>
      <w:r>
        <w:t xml:space="preserve">team shall comply with all occupational health and safety regulations as mandated by the Egyptian Ministry of Manpower and Social Solidarity.</w:t>
      </w:r>
    </w:p>
    <w:p>
      <w:pPr>
        <w:numPr>
          <w:ilvl w:val="0"/>
          <w:numId w:val="1001"/>
        </w:numPr>
        <w:pStyle w:val="Compact"/>
      </w:pPr>
      <w:r>
        <w:t xml:space="preserve">Disputes arising from this agreement shall be resolved through amicable negotiation, failing which they shall be referred to the competent courts in Egypt Alexandria.</w:t>
      </w:r>
    </w:p>
    <w:p>
      <w:pPr>
        <w:numPr>
          <w:ilvl w:val="0"/>
          <w:numId w:val="1001"/>
        </w:numPr>
        <w:pStyle w:val="Compact"/>
      </w:pPr>
      <w:r>
        <w:t xml:space="preserve">Force majeure events, including but not limited to extreme weather, government-mandated shutdowns, or supply chain disruptions, shall extend the project timeline proportionally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masonry services to be performed in Egypt Alexandria. This document, once countersigned, constitutes a binding preliminary agreement pending the execution of the full construction contract.</w:t>
      </w:r>
    </w:p>
    <w:p>
      <w:pPr>
        <w:pStyle w:val="BodyText"/>
      </w:pPr>
      <w:r>
        <w:rPr>
          <w:bCs/>
          <w:b/>
        </w:rPr>
        <w:t xml:space="preserve">For Alexandria Mason &amp; Construction Co.</w:t>
      </w:r>
      <w:r>
        <w:br/>
      </w:r>
      <w:r>
        <w:t xml:space="preserve">Authorized Representative</w:t>
      </w:r>
      <w:r>
        <w:br/>
      </w:r>
      <w:r>
        <w:t xml:space="preserve">Name: Eng. Khaled Mansour</w:t>
      </w:r>
      <w:r>
        <w:br/>
      </w:r>
      <w:r>
        <w:t xml:space="preserve">Date: _______________</w:t>
      </w:r>
    </w:p>
    <w:p>
      <w:pPr>
        <w:pStyle w:val="BodyText"/>
      </w:pPr>
      <w:r>
        <w:rPr>
          <w:bCs/>
          <w:b/>
        </w:rPr>
        <w:t xml:space="preserve">Client Acknowledgment</w:t>
      </w:r>
      <w:r>
        <w:br/>
      </w:r>
      <w:r>
        <w:t xml:space="preserve">Name: Mr. Ahmed El-Sayed Hassan</w:t>
      </w:r>
      <w:r>
        <w:br/>
      </w:r>
      <w:r>
        <w:t xml:space="preserve">Signature: _______________</w:t>
      </w:r>
      <w:r>
        <w:br/>
      </w:r>
      <w:r>
        <w:t xml:space="preserve">Date: _______________</w:t>
      </w:r>
    </w:p>
    <w:p>
      <w:pPr>
        <w:pStyle w:val="BodyText"/>
      </w:pPr>
      <w:r>
        <w:t xml:space="preserve">Alexandria Mason &amp; Construction Co. | 47 Corniche El-Nil Street, Smouha, Egypt Alexandria | Tel: +20 3 552 8841 | CR No. 184729 | Tax Reg. No. 552-884-102</w:t>
      </w:r>
    </w:p>
    <w:p>
      <w:pPr>
        <w:pStyle w:val="BodyText"/>
      </w:pPr>
      <w:r>
        <w:t xml:space="preserve">This Quotation Estimate document is generated electronically and carries the same legal validity as a signed hard copy.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Egypt Alexandria</dc:title>
  <dc:creator/>
  <dc:language>en</dc:language>
  <cp:keywords/>
  <dcterms:created xsi:type="dcterms:W3CDTF">2026-10-10T03:39:11Z</dcterms:created>
  <dcterms:modified xsi:type="dcterms:W3CDTF">2026-10-10T03:39:11Z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