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nile-heritage-masonry-construction-co."/>
    <w:p>
      <w:pPr>
        <w:pStyle w:val="Heading1"/>
      </w:pPr>
      <w:r>
        <w:t xml:space="preserve">Nile Heritage Masonry &amp; Construction Co.</w:t>
      </w:r>
    </w:p>
    <w:p>
      <w:pPr>
        <w:pStyle w:val="FirstParagraph"/>
      </w:pPr>
      <w:r>
        <w:t xml:space="preserve">127 El Tahrir Street, Downtown District, Egypt Cairo | Tel: +20 2 2578 4433 | Email: info@nileheritagemasonry.com</w:t>
      </w:r>
    </w:p>
    <w:p>
      <w:pPr>
        <w:pStyle w:val="BodyText"/>
      </w:pPr>
      <w:r>
        <w:t xml:space="preserve">Commercial Registration No. 448291 | Tax ID: 552-881-334</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NHM-2025-04782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Mr. Ahmed Hassan El-Sayed – Residential Project, Zamalek, Egypt Cairo</w:t>
            </w:r>
          </w:p>
        </w:tc>
      </w:tr>
      <w:tr>
        <w:tc>
          <w:tcPr/>
          <w:p>
            <w:pPr>
              <w:pStyle w:val="Compact"/>
              <w:jc w:val="left"/>
            </w:pPr>
            <w:r>
              <w:t xml:space="preserve">Project Location:</w:t>
            </w:r>
          </w:p>
        </w:tc>
        <w:tc>
          <w:tcPr/>
          <w:p>
            <w:pPr>
              <w:pStyle w:val="Compact"/>
              <w:jc w:val="left"/>
            </w:pPr>
            <w:r>
              <w:t xml:space="preserve">14 El Gezira Road, Zamalek District, Egypt Cairo, 11511</w:t>
            </w:r>
          </w:p>
        </w:tc>
      </w:tr>
      <w:tr>
        <w:tc>
          <w:tcPr/>
          <w:p>
            <w:pPr>
              <w:pStyle w:val="Compact"/>
              <w:jc w:val="left"/>
            </w:pPr>
            <w:r>
              <w:t xml:space="preserve">Scope Category:</w:t>
            </w:r>
          </w:p>
        </w:tc>
        <w:tc>
          <w:tcPr/>
          <w:p>
            <w:pPr>
              <w:pStyle w:val="Compact"/>
              <w:jc w:val="left"/>
            </w:pPr>
            <w:r>
              <w:t xml:space="preserve">Full Mason &amp; Stonework Services – Residential Renovation</w:t>
            </w:r>
          </w:p>
        </w:tc>
      </w:tr>
    </w:tbl>
    <w:bookmarkStart w:id="21" w:name="Xe532c59dfae952c7b294537f0870e379934ad70"/>
    <w:p>
      <w:pPr>
        <w:pStyle w:val="Heading2"/>
      </w:pPr>
      <w:r>
        <w:t xml:space="preserve">1. Introduction &amp; Purpose of This Quotation Estimate</w:t>
      </w:r>
    </w:p>
    <w:p>
      <w:pPr>
        <w:pStyle w:val="FirstParagraph"/>
      </w:pPr>
      <w:r>
        <w:t xml:space="preserve">This</w:t>
      </w:r>
      <w:r>
        <w:t xml:space="preserve"> </w:t>
      </w:r>
      <w:r>
        <w:t xml:space="preserve">Quotation Estimate</w:t>
      </w:r>
      <w:r>
        <w:t xml:space="preserve"> </w:t>
      </w:r>
      <w:r>
        <w:t xml:space="preserve">is issued by Nile Heritage Masonry &amp; Construction Co. to provide a comprehensive, itemized cost breakdown for all</w:t>
      </w:r>
      <w:r>
        <w:t xml:space="preserve"> </w:t>
      </w:r>
      <w:r>
        <w:t xml:space="preserve">Mason</w:t>
      </w:r>
      <w:r>
        <w:t xml:space="preserve"> </w:t>
      </w:r>
      <w:r>
        <w:t xml:space="preserve">services required for the residential renovation project located in the Zamalek district of</w:t>
      </w:r>
      <w:r>
        <w:t xml:space="preserve"> </w:t>
      </w:r>
      <w:r>
        <w:t xml:space="preserve">Egypt Cairo</w:t>
      </w:r>
      <w:r>
        <w:t xml:space="preserve">. This document serves as a formal, binding proposal that outlines the scope of masonry work, material specifications, labor charges, timelines, and payment terms. All pricing in this Quotation Estimate reflects current market rates for masonry materials and skilled labor available in the Egypt Cairo construction sector as of June 2025.</w:t>
      </w:r>
    </w:p>
    <w:bookmarkEnd w:id="21"/>
    <w:bookmarkStart w:id="22" w:name="scope-of-mason-work"/>
    <w:p>
      <w:pPr>
        <w:pStyle w:val="Heading2"/>
      </w:pPr>
      <w:r>
        <w:t xml:space="preserve">2. Scope of Mason Work</w:t>
      </w:r>
    </w:p>
    <w:p>
      <w:pPr>
        <w:pStyle w:val="FirstParagraph"/>
      </w:pPr>
      <w:r>
        <w:t xml:space="preserve">The following</w:t>
      </w:r>
      <w:r>
        <w:t xml:space="preserve"> </w:t>
      </w:r>
      <w:r>
        <w:t xml:space="preserve">Mason</w:t>
      </w:r>
      <w:r>
        <w:t xml:space="preserve"> </w:t>
      </w:r>
      <w:r>
        <w:t xml:space="preserve">services have been identified and scoped for this project in Egypt Cairo. Each line item below represents a distinct phase of masonry work to be executed by our certified mason team:</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Mason Work</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Demolition and removal of existing masonry walls (interior partitions, 2nd floor)</w:t>
            </w:r>
          </w:p>
        </w:tc>
        <w:tc>
          <w:tcPr/>
          <w:p>
            <w:pPr>
              <w:pStyle w:val="Compact"/>
              <w:jc w:val="left"/>
            </w:pPr>
            <w:r>
              <w:t xml:space="preserve">85</w:t>
            </w:r>
          </w:p>
        </w:tc>
        <w:tc>
          <w:tcPr/>
          <w:p>
            <w:pPr>
              <w:pStyle w:val="Compact"/>
              <w:jc w:val="left"/>
            </w:pPr>
            <w:r>
              <w:t xml:space="preserve">m²</w:t>
            </w:r>
          </w:p>
        </w:tc>
        <w:tc>
          <w:tcPr/>
          <w:p>
            <w:pPr>
              <w:pStyle w:val="Compact"/>
              <w:jc w:val="left"/>
            </w:pPr>
            <w:r>
              <w:t xml:space="preserve">320</w:t>
            </w:r>
          </w:p>
        </w:tc>
        <w:tc>
          <w:tcPr/>
          <w:p>
            <w:pPr>
              <w:pStyle w:val="Compact"/>
              <w:jc w:val="left"/>
            </w:pPr>
            <w:r>
              <w:t xml:space="preserve">27,200</w:t>
            </w:r>
          </w:p>
        </w:tc>
      </w:tr>
      <w:tr>
        <w:tc>
          <w:tcPr/>
          <w:p>
            <w:pPr>
              <w:pStyle w:val="Compact"/>
              <w:jc w:val="left"/>
            </w:pPr>
            <w:r>
              <w:t xml:space="preserve">02</w:t>
            </w:r>
          </w:p>
        </w:tc>
        <w:tc>
          <w:tcPr/>
          <w:p>
            <w:pPr>
              <w:pStyle w:val="Compact"/>
              <w:jc w:val="left"/>
            </w:pPr>
            <w:r>
              <w:t xml:space="preserve">Supply and installation of 200mm solid clay brick masonry walls (new partitions)</w:t>
            </w:r>
          </w:p>
        </w:tc>
        <w:tc>
          <w:tcPr/>
          <w:p>
            <w:pPr>
              <w:pStyle w:val="Compact"/>
              <w:jc w:val="left"/>
            </w:pPr>
            <w:r>
              <w:t xml:space="preserve">142</w:t>
            </w:r>
          </w:p>
        </w:tc>
        <w:tc>
          <w:tcPr/>
          <w:p>
            <w:pPr>
              <w:pStyle w:val="Compact"/>
              <w:jc w:val="left"/>
            </w:pPr>
            <w:r>
              <w:t xml:space="preserve">m²</w:t>
            </w:r>
          </w:p>
        </w:tc>
        <w:tc>
          <w:tcPr/>
          <w:p>
            <w:pPr>
              <w:pStyle w:val="Compact"/>
              <w:jc w:val="left"/>
            </w:pPr>
            <w:r>
              <w:t xml:space="preserve">890</w:t>
            </w:r>
          </w:p>
        </w:tc>
        <w:tc>
          <w:tcPr/>
          <w:p>
            <w:pPr>
              <w:pStyle w:val="Compact"/>
              <w:jc w:val="left"/>
            </w:pPr>
            <w:r>
              <w:t xml:space="preserve">126,380</w:t>
            </w:r>
          </w:p>
        </w:tc>
      </w:tr>
      <w:tr>
        <w:tc>
          <w:tcPr/>
          <w:p>
            <w:pPr>
              <w:pStyle w:val="Compact"/>
              <w:jc w:val="left"/>
            </w:pPr>
            <w:r>
              <w:t xml:space="preserve">03</w:t>
            </w:r>
          </w:p>
        </w:tc>
        <w:tc>
          <w:tcPr/>
          <w:p>
            <w:pPr>
              <w:pStyle w:val="Compact"/>
              <w:jc w:val="left"/>
            </w:pPr>
            <w:r>
              <w:t xml:space="preserve">Mason work – external facade stone cladding (local Egyptian limestone, 30mm thick)</w:t>
            </w:r>
          </w:p>
        </w:tc>
        <w:tc>
          <w:tcPr/>
          <w:p>
            <w:pPr>
              <w:pStyle w:val="Compact"/>
              <w:jc w:val="left"/>
            </w:pPr>
            <w:r>
              <w:t xml:space="preserve">210</w:t>
            </w:r>
          </w:p>
        </w:tc>
        <w:tc>
          <w:tcPr/>
          <w:p>
            <w:pPr>
              <w:pStyle w:val="Compact"/>
              <w:jc w:val="left"/>
            </w:pPr>
            <w:r>
              <w:t xml:space="preserve">m²</w:t>
            </w:r>
          </w:p>
        </w:tc>
        <w:tc>
          <w:tcPr/>
          <w:p>
            <w:pPr>
              <w:pStyle w:val="Compact"/>
              <w:jc w:val="left"/>
            </w:pPr>
            <w:r>
              <w:t xml:space="preserve">1,450</w:t>
            </w:r>
          </w:p>
        </w:tc>
        <w:tc>
          <w:tcPr/>
          <w:p>
            <w:pPr>
              <w:pStyle w:val="Compact"/>
              <w:jc w:val="left"/>
            </w:pPr>
            <w:r>
              <w:t xml:space="preserve">304,500</w:t>
            </w:r>
          </w:p>
        </w:tc>
      </w:tr>
      <w:tr>
        <w:tc>
          <w:tcPr/>
          <w:p>
            <w:pPr>
              <w:pStyle w:val="Compact"/>
              <w:jc w:val="left"/>
            </w:pPr>
            <w:r>
              <w:t xml:space="preserve">04</w:t>
            </w:r>
          </w:p>
        </w:tc>
        <w:tc>
          <w:tcPr/>
          <w:p>
            <w:pPr>
              <w:pStyle w:val="Compact"/>
              <w:jc w:val="left"/>
            </w:pPr>
            <w:r>
              <w:t xml:space="preserve">Construction of masonry arches and decorative lintels (entrance foyer, 3 units)</w:t>
            </w:r>
          </w:p>
        </w:tc>
        <w:tc>
          <w:tcPr/>
          <w:p>
            <w:pPr>
              <w:pStyle w:val="Compact"/>
              <w:jc w:val="left"/>
            </w:pPr>
            <w:r>
              <w:t xml:space="preserve">3</w:t>
            </w:r>
          </w:p>
        </w:tc>
        <w:tc>
          <w:tcPr/>
          <w:p>
            <w:pPr>
              <w:pStyle w:val="Compact"/>
              <w:jc w:val="left"/>
            </w:pPr>
            <w:r>
              <w:t xml:space="preserve">unit</w:t>
            </w:r>
          </w:p>
        </w:tc>
        <w:tc>
          <w:tcPr/>
          <w:p>
            <w:pPr>
              <w:pStyle w:val="Compact"/>
              <w:jc w:val="left"/>
            </w:pPr>
            <w:r>
              <w:t xml:space="preserve">18,500</w:t>
            </w:r>
          </w:p>
        </w:tc>
        <w:tc>
          <w:tcPr/>
          <w:p>
            <w:pPr>
              <w:pStyle w:val="Compact"/>
              <w:jc w:val="left"/>
            </w:pPr>
            <w:r>
              <w:t xml:space="preserve">55,500</w:t>
            </w:r>
          </w:p>
        </w:tc>
      </w:tr>
      <w:tr>
        <w:tc>
          <w:tcPr/>
          <w:p>
            <w:pPr>
              <w:pStyle w:val="Compact"/>
              <w:jc w:val="left"/>
            </w:pPr>
            <w:r>
              <w:t xml:space="preserve">05</w:t>
            </w:r>
          </w:p>
        </w:tc>
        <w:tc>
          <w:tcPr/>
          <w:p>
            <w:pPr>
              <w:pStyle w:val="Compact"/>
              <w:jc w:val="left"/>
            </w:pPr>
            <w:r>
              <w:t xml:space="preserve">Mason work – kitchen and bathroom tile setting (ceramic, 60x60cm, walls and floors)</w:t>
            </w:r>
          </w:p>
        </w:tc>
        <w:tc>
          <w:tcPr/>
          <w:p>
            <w:pPr>
              <w:pStyle w:val="Compact"/>
              <w:jc w:val="left"/>
            </w:pPr>
            <w:r>
              <w:t xml:space="preserve">96</w:t>
            </w:r>
          </w:p>
        </w:tc>
        <w:tc>
          <w:tcPr/>
          <w:p>
            <w:pPr>
              <w:pStyle w:val="Compact"/>
              <w:jc w:val="left"/>
            </w:pPr>
            <w:r>
              <w:t xml:space="preserve">m²</w:t>
            </w:r>
          </w:p>
        </w:tc>
        <w:tc>
          <w:tcPr/>
          <w:p>
            <w:pPr>
              <w:pStyle w:val="Compact"/>
              <w:jc w:val="left"/>
            </w:pPr>
            <w:r>
              <w:t xml:space="preserve">620</w:t>
            </w:r>
          </w:p>
        </w:tc>
        <w:tc>
          <w:tcPr/>
          <w:p>
            <w:pPr>
              <w:pStyle w:val="Compact"/>
              <w:jc w:val="left"/>
            </w:pPr>
            <w:r>
              <w:t xml:space="preserve">59,520</w:t>
            </w:r>
          </w:p>
        </w:tc>
      </w:tr>
      <w:tr>
        <w:tc>
          <w:tcPr/>
          <w:p>
            <w:pPr>
              <w:pStyle w:val="Compact"/>
              <w:jc w:val="left"/>
            </w:pPr>
            <w:r>
              <w:t xml:space="preserve">06</w:t>
            </w:r>
          </w:p>
        </w:tc>
        <w:tc>
          <w:tcPr/>
          <w:p>
            <w:pPr>
              <w:pStyle w:val="Compact"/>
              <w:jc w:val="left"/>
            </w:pPr>
            <w:r>
              <w:t xml:space="preserve">Plastering and rendering of all new masonry surfaces (two-coat cement plaster)</w:t>
            </w:r>
          </w:p>
        </w:tc>
        <w:tc>
          <w:tcPr/>
          <w:p>
            <w:pPr>
              <w:pStyle w:val="Compact"/>
              <w:jc w:val="left"/>
            </w:pPr>
            <w:r>
              <w:t xml:space="preserve">320</w:t>
            </w:r>
          </w:p>
        </w:tc>
        <w:tc>
          <w:tcPr/>
          <w:p>
            <w:pPr>
              <w:pStyle w:val="Compact"/>
              <w:jc w:val="left"/>
            </w:pPr>
            <w:r>
              <w:t xml:space="preserve">m²</w:t>
            </w:r>
          </w:p>
        </w:tc>
        <w:tc>
          <w:tcPr/>
          <w:p>
            <w:pPr>
              <w:pStyle w:val="Compact"/>
              <w:jc w:val="left"/>
            </w:pPr>
            <w:r>
              <w:t xml:space="preserve">285</w:t>
            </w:r>
          </w:p>
        </w:tc>
        <w:tc>
          <w:tcPr/>
          <w:p>
            <w:pPr>
              <w:pStyle w:val="Compact"/>
              <w:jc w:val="left"/>
            </w:pPr>
            <w:r>
              <w:t xml:space="preserve">91,200</w:t>
            </w:r>
          </w:p>
        </w:tc>
      </w:tr>
      <w:tr>
        <w:tc>
          <w:tcPr/>
          <w:p>
            <w:pPr>
              <w:pStyle w:val="Compact"/>
              <w:jc w:val="left"/>
            </w:pPr>
            <w:r>
              <w:t xml:space="preserve">07</w:t>
            </w:r>
          </w:p>
        </w:tc>
        <w:tc>
          <w:tcPr/>
          <w:p>
            <w:pPr>
              <w:pStyle w:val="Compact"/>
              <w:jc w:val="left"/>
            </w:pPr>
            <w:r>
              <w:t xml:space="preserve">Mason work – construction of exterior retaining wall (garden boundary, 4.2m length)</w:t>
            </w:r>
          </w:p>
        </w:tc>
        <w:tc>
          <w:tcPr/>
          <w:p>
            <w:pPr>
              <w:pStyle w:val="Compact"/>
              <w:jc w:val="left"/>
            </w:pPr>
            <w:r>
              <w:t xml:space="preserve">4.2</w:t>
            </w:r>
          </w:p>
        </w:tc>
        <w:tc>
          <w:tcPr/>
          <w:p>
            <w:pPr>
              <w:pStyle w:val="Compact"/>
              <w:jc w:val="left"/>
            </w:pPr>
            <w:r>
              <w:t xml:space="preserve">lm</w:t>
            </w:r>
          </w:p>
        </w:tc>
        <w:tc>
          <w:tcPr/>
          <w:p>
            <w:pPr>
              <w:pStyle w:val="Compact"/>
              <w:jc w:val="left"/>
            </w:pPr>
            <w:r>
              <w:t xml:space="preserve">12,800</w:t>
            </w:r>
          </w:p>
        </w:tc>
        <w:tc>
          <w:tcPr/>
          <w:p>
            <w:pPr>
              <w:pStyle w:val="Compact"/>
              <w:jc w:val="left"/>
            </w:pPr>
            <w:r>
              <w:t xml:space="preserve">53,760</w:t>
            </w:r>
          </w:p>
        </w:tc>
      </w:tr>
      <w:tr>
        <w:tc>
          <w:tcPr/>
          <w:p>
            <w:pPr>
              <w:pStyle w:val="Compact"/>
              <w:jc w:val="left"/>
            </w:pPr>
            <w:r>
              <w:t xml:space="preserve">08</w:t>
            </w:r>
          </w:p>
        </w:tc>
        <w:tc>
          <w:tcPr/>
          <w:p>
            <w:pPr>
              <w:pStyle w:val="Compact"/>
              <w:jc w:val="left"/>
            </w:pPr>
            <w:r>
              <w:t xml:space="preserve">Supply of all masonry materials: cement (Cemex 42.5), sand, aggregate, rebar, mortar</w:t>
            </w:r>
          </w:p>
        </w:tc>
        <w:tc>
          <w:tcPr/>
          <w:p>
            <w:pPr>
              <w:pStyle w:val="Compact"/>
              <w:jc w:val="left"/>
            </w:pPr>
            <w:r>
              <w:t xml:space="preserve">1</w:t>
            </w:r>
          </w:p>
        </w:tc>
        <w:tc>
          <w:tcPr/>
          <w:p>
            <w:pPr>
              <w:pStyle w:val="Compact"/>
              <w:jc w:val="left"/>
            </w:pPr>
            <w:r>
              <w:t xml:space="preserve">lot</w:t>
            </w:r>
          </w:p>
        </w:tc>
        <w:tc>
          <w:tcPr/>
          <w:p>
            <w:pPr>
              <w:pStyle w:val="Compact"/>
              <w:jc w:val="left"/>
            </w:pPr>
            <w:r>
              <w:t xml:space="preserve">87,400</w:t>
            </w:r>
          </w:p>
        </w:tc>
        <w:tc>
          <w:tcPr/>
          <w:p>
            <w:pPr>
              <w:pStyle w:val="Compact"/>
              <w:jc w:val="left"/>
            </w:pPr>
            <w:r>
              <w:t xml:space="preserve">87,400</w:t>
            </w:r>
          </w:p>
        </w:tc>
      </w:tr>
      <w:tr>
        <w:tc>
          <w:tcPr/>
          <w:p>
            <w:pPr>
              <w:pStyle w:val="Compact"/>
              <w:jc w:val="left"/>
            </w:pPr>
            <w:r>
              <w:t xml:space="preserve">09</w:t>
            </w:r>
          </w:p>
        </w:tc>
        <w:tc>
          <w:tcPr/>
          <w:p>
            <w:pPr>
              <w:pStyle w:val="Compact"/>
              <w:jc w:val="left"/>
            </w:pPr>
            <w:r>
              <w:t xml:space="preserve">Skilled Mason labor – master mason (1) and assistant masons (4) – full project duration</w:t>
            </w:r>
          </w:p>
        </w:tc>
        <w:tc>
          <w:tcPr/>
          <w:p>
            <w:pPr>
              <w:pStyle w:val="Compact"/>
              <w:jc w:val="left"/>
            </w:pPr>
            <w:r>
              <w:t xml:space="preserve">45</w:t>
            </w:r>
          </w:p>
        </w:tc>
        <w:tc>
          <w:tcPr/>
          <w:p>
            <w:pPr>
              <w:pStyle w:val="Compact"/>
              <w:jc w:val="left"/>
            </w:pPr>
            <w:r>
              <w:t xml:space="preserve">man-days</w:t>
            </w:r>
          </w:p>
        </w:tc>
        <w:tc>
          <w:tcPr/>
          <w:p>
            <w:pPr>
              <w:pStyle w:val="Compact"/>
              <w:jc w:val="left"/>
            </w:pPr>
            <w:r>
              <w:t xml:space="preserve">1,100</w:t>
            </w:r>
          </w:p>
        </w:tc>
        <w:tc>
          <w:tcPr/>
          <w:p>
            <w:pPr>
              <w:pStyle w:val="Compact"/>
              <w:jc w:val="left"/>
            </w:pPr>
            <w:r>
              <w:t xml:space="preserve">49,500</w:t>
            </w:r>
          </w:p>
        </w:tc>
      </w:tr>
      <w:tr>
        <w:tc>
          <w:tcPr/>
          <w:p>
            <w:pPr>
              <w:pStyle w:val="Compact"/>
              <w:jc w:val="left"/>
            </w:pPr>
            <w:r>
              <w:t xml:space="preserve">10</w:t>
            </w:r>
          </w:p>
        </w:tc>
        <w:tc>
          <w:tcPr/>
          <w:p>
            <w:pPr>
              <w:pStyle w:val="Compact"/>
              <w:jc w:val="left"/>
            </w:pPr>
            <w:r>
              <w:t xml:space="preserve">Site supervision, quality control, and final masonry inspection (Egypt Cairo municipal compliance)</w:t>
            </w:r>
          </w:p>
        </w:tc>
        <w:tc>
          <w:tcPr/>
          <w:p>
            <w:pPr>
              <w:pStyle w:val="Compact"/>
              <w:jc w:val="left"/>
            </w:pPr>
            <w:r>
              <w:t xml:space="preserve">1</w:t>
            </w:r>
          </w:p>
        </w:tc>
        <w:tc>
          <w:tcPr/>
          <w:p>
            <w:pPr>
              <w:pStyle w:val="Compact"/>
              <w:jc w:val="left"/>
            </w:pPr>
            <w:r>
              <w:t xml:space="preserve">lot</w:t>
            </w:r>
          </w:p>
        </w:tc>
        <w:tc>
          <w:tcPr/>
          <w:p>
            <w:pPr>
              <w:pStyle w:val="Compact"/>
              <w:jc w:val="left"/>
            </w:pPr>
            <w:r>
              <w:t xml:space="preserve">12,000</w:t>
            </w:r>
          </w:p>
        </w:tc>
        <w:tc>
          <w:tcPr/>
          <w:p>
            <w:pPr>
              <w:pStyle w:val="Compact"/>
              <w:jc w:val="left"/>
            </w:pPr>
            <w:r>
              <w:t xml:space="preserve">12,000</w:t>
            </w:r>
          </w:p>
        </w:tc>
      </w:tr>
      <w:tr>
        <w:tc>
          <w:tcPr>
            <w:gridSpan w:val="5"/>
          </w:tcPr>
          <w:p>
            <w:pPr>
              <w:pStyle w:val="Compact"/>
              <w:jc w:val="right"/>
            </w:pPr>
            <w:r>
              <w:t xml:space="preserve">Subtotal:</w:t>
            </w:r>
          </w:p>
        </w:tc>
        <w:tc>
          <w:tcPr/>
          <w:p>
            <w:pPr>
              <w:pStyle w:val="Compact"/>
              <w:jc w:val="left"/>
            </w:pPr>
            <w:r>
              <w:t xml:space="preserve">867,960</w:t>
            </w:r>
          </w:p>
        </w:tc>
      </w:tr>
      <w:tr>
        <w:tc>
          <w:tcPr>
            <w:gridSpan w:val="5"/>
          </w:tcPr>
          <w:p>
            <w:pPr>
              <w:pStyle w:val="Compact"/>
              <w:jc w:val="right"/>
            </w:pPr>
            <w:r>
              <w:t xml:space="preserve">VAT (14% – Egypt Tax Authority):</w:t>
            </w:r>
          </w:p>
        </w:tc>
        <w:tc>
          <w:tcPr/>
          <w:p>
            <w:pPr>
              <w:pStyle w:val="Compact"/>
              <w:jc w:val="left"/>
            </w:pPr>
            <w:r>
              <w:t xml:space="preserve">121,514</w:t>
            </w:r>
          </w:p>
        </w:tc>
      </w:tr>
      <w:tr>
        <w:tc>
          <w:tcPr>
            <w:gridSpan w:val="5"/>
          </w:tcPr>
          <w:p>
            <w:pPr>
              <w:pStyle w:val="Compact"/>
              <w:jc w:val="right"/>
            </w:pPr>
            <w:r>
              <w:t xml:space="preserve">TOTAL ESTIMATED COST (EGP):</w:t>
            </w:r>
          </w:p>
        </w:tc>
        <w:tc>
          <w:tcPr/>
          <w:p>
            <w:pPr>
              <w:pStyle w:val="Compact"/>
              <w:jc w:val="left"/>
            </w:pPr>
            <w:r>
              <w:t xml:space="preserve">989,474</w:t>
            </w:r>
          </w:p>
        </w:tc>
      </w:tr>
    </w:tbl>
    <w:bookmarkEnd w:id="22"/>
    <w:bookmarkStart w:id="23" w:name="project-timeline"/>
    <w:p>
      <w:pPr>
        <w:pStyle w:val="Heading2"/>
      </w:pPr>
      <w:r>
        <w:t xml:space="preserve">3. Project Timeline</w:t>
      </w:r>
    </w:p>
    <w:p>
      <w:pPr>
        <w:pStyle w:val="FirstParagraph"/>
      </w:pPr>
      <w:r>
        <w:t xml:space="preserve">The total estimated duration for all</w:t>
      </w:r>
      <w:r>
        <w:t xml:space="preserve"> </w:t>
      </w:r>
      <w:r>
        <w:t xml:space="preserve">Mason</w:t>
      </w:r>
      <w:r>
        <w:t xml:space="preserve"> </w:t>
      </w:r>
      <w:r>
        <w:t xml:space="preserve">work described in this Quotation Estimate is</w:t>
      </w:r>
      <w:r>
        <w:t xml:space="preserve"> </w:t>
      </w:r>
      <w:r>
        <w:rPr>
          <w:bCs/>
          <w:b/>
        </w:rPr>
        <w:t xml:space="preserve">45 working days</w:t>
      </w:r>
      <w:r>
        <w:t xml:space="preserve">, commencing from the date of contract signing and site handover in Egypt Cairo. The schedule accounts for material procurement from local Egypt Cairo suppliers, curing periods for mortar and plaster, and mandatory inspection checkpoints required by the Cairo Governorate Building Authority.</w:t>
      </w:r>
    </w:p>
    <w:bookmarkEnd w:id="23"/>
    <w:bookmarkStart w:id="24" w:name="terms-and-conditions"/>
    <w:p>
      <w:pPr>
        <w:pStyle w:val="Heading2"/>
      </w:pPr>
      <w:r>
        <w:t xml:space="preserve">4. Terms and Conditions</w:t>
      </w:r>
    </w:p>
    <w:p>
      <w:pPr>
        <w:numPr>
          <w:ilvl w:val="0"/>
          <w:numId w:val="1001"/>
        </w:numPr>
        <w:pStyle w:val="Compact"/>
      </w:pPr>
      <w:r>
        <w:rPr>
          <w:bCs/>
          <w:b/>
        </w:rPr>
        <w:t xml:space="preserve">Payment Schedule:</w:t>
      </w:r>
      <w:r>
        <w:t xml:space="preserve"> </w:t>
      </w:r>
      <w:r>
        <w:t xml:space="preserve">30% advance upon signing, 40% upon completion of structural masonry work, 30% upon final handover and inspection sign-off.</w:t>
      </w:r>
    </w:p>
    <w:p>
      <w:pPr>
        <w:numPr>
          <w:ilvl w:val="0"/>
          <w:numId w:val="1001"/>
        </w:numPr>
        <w:pStyle w:val="Compact"/>
      </w:pPr>
      <w:r>
        <w:rPr>
          <w:bCs/>
          <w:b/>
        </w:rPr>
        <w:t xml:space="preserve">Validity:</w:t>
      </w:r>
      <w:r>
        <w:t xml:space="preserve"> </w:t>
      </w:r>
      <w:r>
        <w:t xml:space="preserve">This Quotation Estimate remains valid for 30 calendar days from the date of issue. Prices are subject to revision based on fluctuating material costs in the Egypt Cairo market.</w:t>
      </w:r>
    </w:p>
    <w:p>
      <w:pPr>
        <w:numPr>
          <w:ilvl w:val="0"/>
          <w:numId w:val="1001"/>
        </w:numPr>
        <w:pStyle w:val="Compact"/>
      </w:pPr>
      <w:r>
        <w:rPr>
          <w:bCs/>
          <w:b/>
        </w:rPr>
        <w:t xml:space="preserve">Warranty:</w:t>
      </w:r>
      <w:r>
        <w:t xml:space="preserve"> </w:t>
      </w:r>
      <w:r>
        <w:t xml:space="preserve">All masonry work is covered under a 24-month structural warranty from the date of final acceptance. This warranty covers defects in mason workmanship, material failure, and structural integrity.</w:t>
      </w:r>
    </w:p>
    <w:p>
      <w:pPr>
        <w:numPr>
          <w:ilvl w:val="0"/>
          <w:numId w:val="1001"/>
        </w:numPr>
        <w:pStyle w:val="Compact"/>
      </w:pPr>
      <w:r>
        <w:rPr>
          <w:bCs/>
          <w:b/>
        </w:rPr>
        <w:t xml:space="preserve">Change Orders:</w:t>
      </w:r>
      <w:r>
        <w:t xml:space="preserve"> </w:t>
      </w:r>
      <w:r>
        <w:t xml:space="preserve">Any modifications to the scope of Mason work beyond what is stated in this Quotation Estimate must be documented in a written change order signed by both parties before execution.</w:t>
      </w:r>
    </w:p>
    <w:p>
      <w:pPr>
        <w:numPr>
          <w:ilvl w:val="0"/>
          <w:numId w:val="1001"/>
        </w:numPr>
        <w:pStyle w:val="Compact"/>
      </w:pPr>
      <w:r>
        <w:rPr>
          <w:bCs/>
          <w:b/>
        </w:rPr>
        <w:t xml:space="preserve">Compliance:</w:t>
      </w:r>
      <w:r>
        <w:t xml:space="preserve"> </w:t>
      </w:r>
      <w:r>
        <w:t xml:space="preserve">All masonry work shall comply with Egyptian Building Code (EBC 2021), Cairo municipal regulations, and applicable safety standards for construction in Egypt Cairo.</w:t>
      </w:r>
    </w:p>
    <w:p>
      <w:pPr>
        <w:numPr>
          <w:ilvl w:val="0"/>
          <w:numId w:val="1001"/>
        </w:numPr>
        <w:pStyle w:val="Compact"/>
      </w:pPr>
      <w:r>
        <w:rPr>
          <w:bCs/>
          <w:b/>
        </w:rPr>
        <w:t xml:space="preserve">Site Access:</w:t>
      </w:r>
      <w:r>
        <w:t xml:space="preserve"> </w:t>
      </w:r>
      <w:r>
        <w:t xml:space="preserve">The client shall ensure uninterrupted access to the project site in Zamalek, Egypt Cairo, during working hours (07:00–17:00, Sunday through Thursday).</w:t>
      </w:r>
    </w:p>
    <w:p>
      <w:pPr>
        <w:numPr>
          <w:ilvl w:val="0"/>
          <w:numId w:val="1001"/>
        </w:numPr>
        <w:pStyle w:val="Compact"/>
      </w:pPr>
      <w:r>
        <w:rPr>
          <w:bCs/>
          <w:b/>
        </w:rPr>
        <w:t xml:space="preserve">Dispute Resolution:</w:t>
      </w:r>
      <w:r>
        <w:t xml:space="preserve"> </w:t>
      </w:r>
      <w:r>
        <w:t xml:space="preserve">Any disputes arising from this Quotation Estimate shall be resolved through mediation under the jurisdiction of the Cairo Commercial Court, Egypt.</w:t>
      </w:r>
    </w:p>
    <w:bookmarkEnd w:id="24"/>
    <w:bookmarkStart w:id="25" w:name="acceptance"/>
    <w:p>
      <w:pPr>
        <w:pStyle w:val="Heading2"/>
      </w:pPr>
      <w:r>
        <w:t xml:space="preserve">5. Acceptance</w:t>
      </w:r>
    </w:p>
    <w:p>
      <w:pPr>
        <w:pStyle w:val="FirstParagraph"/>
      </w:pPr>
      <w:r>
        <w:t xml:space="preserve">By signing below, the client acknowledges receipt of this Quotation Estimate for Mason services in Egypt Cairo and agrees to the terms, pricing, and conditions outlined herein. This document constitutes a formal offer and, upon countersignature, becomes a binding contract between both parties.</w:t>
      </w:r>
    </w:p>
    <w:p>
      <w:pPr>
        <w:pStyle w:val="BodyText"/>
      </w:pPr>
      <w:r>
        <w:rPr>
          <w:bCs/>
          <w:b/>
        </w:rPr>
        <w:t xml:space="preserve">For Nile Heritage Masonry &amp; Construction Co.</w:t>
      </w:r>
      <w:r>
        <w:br/>
      </w:r>
      <w:r>
        <w:br/>
      </w:r>
      <w:r>
        <w:t xml:space="preserve">_________________________________</w:t>
      </w:r>
      <w:r>
        <w:br/>
      </w:r>
      <w:r>
        <w:t xml:space="preserve">Name: Eng. Karim Mostafa</w:t>
      </w:r>
      <w:r>
        <w:br/>
      </w:r>
      <w:r>
        <w:t xml:space="preserve">Title: Project Director</w:t>
      </w:r>
      <w:r>
        <w:br/>
      </w:r>
      <w:r>
        <w:t xml:space="preserve">Date: _______________</w:t>
      </w:r>
    </w:p>
    <w:p>
      <w:pPr>
        <w:pStyle w:val="BodyText"/>
      </w:pPr>
      <w:r>
        <w:rPr>
          <w:bCs/>
          <w:b/>
        </w:rPr>
        <w:t xml:space="preserve">For the Client</w:t>
      </w:r>
      <w:r>
        <w:br/>
      </w:r>
      <w:r>
        <w:br/>
      </w:r>
      <w:r>
        <w:t xml:space="preserve">_________________________________</w:t>
      </w:r>
      <w:r>
        <w:br/>
      </w:r>
      <w:r>
        <w:t xml:space="preserve">Name: Mr. Ahmed Hassan El-Sayed</w:t>
      </w:r>
      <w:r>
        <w:br/>
      </w:r>
      <w:r>
        <w:t xml:space="preserve">Title: Project Owner</w:t>
      </w:r>
      <w:r>
        <w:br/>
      </w:r>
      <w:r>
        <w:t xml:space="preserve">Date: _______________</w:t>
      </w:r>
    </w:p>
    <w:p>
      <w:pPr>
        <w:pStyle w:val="BodyText"/>
      </w:pPr>
      <w:r>
        <w:t xml:space="preserve">Nile Heritage Masonry &amp; Construction Co. | Egypt Cairo | This Quotation Estimate is the property of Nile Heritage Masonry &amp; Construction Co. and is issued solely for the project referenced above. Unauthorized reproduction or distribution is prohibited. Document Ref: NHM-2025-04782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Mason Services - Egypt Cairo</dc:title>
  <dc:creator/>
  <dc:language>en</dc:language>
  <cp:keywords/>
  <dcterms:created xsi:type="dcterms:W3CDTF">2026-10-10T04:30:12Z</dcterms:created>
  <dcterms:modified xsi:type="dcterms:W3CDTF">2026-10-10T04:30:12Z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