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abay-construction-mason-services-plc"/>
    <w:p>
      <w:pPr>
        <w:pStyle w:val="Heading1"/>
      </w:pPr>
      <w:r>
        <w:t xml:space="preserve">Abay Construction &amp; Mason Services PLC</w:t>
      </w:r>
    </w:p>
    <w:p>
      <w:pPr>
        <w:pStyle w:val="FirstParagraph"/>
      </w:pPr>
      <w:r>
        <w:t xml:space="preserve">P.O. Box 4521, Bole Sub-City, Ethiopia Addis Ababa</w:t>
      </w:r>
    </w:p>
    <w:p>
      <w:pPr>
        <w:pStyle w:val="BodyText"/>
      </w:pPr>
      <w:r>
        <w:t xml:space="preserve">Tel: +251-11-555-0198 | Email: info@abaymason.et</w:t>
      </w:r>
    </w:p>
    <w:p>
      <w:pPr>
        <w:pStyle w:val="BodyText"/>
      </w:pPr>
      <w:r>
        <w:t xml:space="preserve">Trade License No. ET-AB-2019-004321 | TIN: 0012345678</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QE-MAS-2025-0087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Ethiopia Addis Ababa, Kirkos Sub-City</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Mr. Tesfaye Alemu</w:t>
      </w:r>
    </w:p>
    <w:p>
      <w:pPr>
        <w:pStyle w:val="BodyText"/>
      </w:pPr>
      <w:r>
        <w:rPr>
          <w:bCs/>
          <w:b/>
        </w:rPr>
        <w:t xml:space="preserve">Address:</w:t>
      </w:r>
      <w:r>
        <w:t xml:space="preserve"> </w:t>
      </w:r>
      <w:r>
        <w:t xml:space="preserve">12 Bole Road, Addis Ababa, Ethiopia</w:t>
      </w:r>
    </w:p>
    <w:p>
      <w:pPr>
        <w:pStyle w:val="BodyText"/>
      </w:pPr>
      <w:r>
        <w:rPr>
          <w:bCs/>
          <w:b/>
        </w:rPr>
        <w:t xml:space="preserve">Phone:</w:t>
      </w:r>
      <w:r>
        <w:t xml:space="preserve"> </w:t>
      </w:r>
      <w:r>
        <w:t xml:space="preserve">+251-911-234-567</w:t>
      </w:r>
    </w:p>
    <w:p>
      <w:pPr>
        <w:pStyle w:val="BodyText"/>
      </w:pPr>
      <w:r>
        <w:rPr>
          <w:bCs/>
          <w:b/>
        </w:rPr>
        <w:t xml:space="preserve">Project Type:</w:t>
      </w:r>
      <w:r>
        <w:t xml:space="preserve"> </w:t>
      </w:r>
      <w:r>
        <w:t xml:space="preserve">Residential Mason Construction</w:t>
      </w:r>
    </w:p>
    <w:bookmarkEnd w:id="22"/>
    <w:p>
      <w:pPr>
        <w:pStyle w:val="BodyText"/>
      </w:pPr>
      <w:r>
        <w:t xml:space="preserve">This</w:t>
      </w:r>
      <w:r>
        <w:t xml:space="preserve"> </w:t>
      </w:r>
      <w:r>
        <w:t xml:space="preserve">Quotation Estimate</w:t>
      </w:r>
      <w:r>
        <w:t xml:space="preserve"> </w:t>
      </w:r>
      <w:r>
        <w:t xml:space="preserve">is issued by Abay Construction &amp; Mason Services PLC in response to the request for professional</w:t>
      </w:r>
      <w:r>
        <w:t xml:space="preserve"> </w:t>
      </w:r>
      <w:r>
        <w:t xml:space="preserve">Mason</w:t>
      </w:r>
      <w:r>
        <w:t xml:space="preserve"> </w:t>
      </w:r>
      <w:r>
        <w:t xml:space="preserve">services for a residential building project located in</w:t>
      </w:r>
      <w:r>
        <w:t xml:space="preserve"> </w:t>
      </w:r>
      <w:r>
        <w:t xml:space="preserve">Ethiopia Addis Ababa</w:t>
      </w:r>
      <w:r>
        <w:t xml:space="preserve">. The following document outlines the complete scope of masonry work, material specifications, labor costs, and associated charges for the construction of a two-story residential structure. All pricing is quoted in Ethiopian Birr (ETB) and reflects current market rates as of the date of issue in the Ethiopia Addis Ababa construction sector.</w:t>
      </w:r>
    </w:p>
    <w:p>
      <w:pPr>
        <w:pStyle w:val="BodyText"/>
      </w:pPr>
      <w:r>
        <w:t xml:space="preserve">Scope of Mason Work</w:t>
      </w:r>
    </w:p>
    <w:p>
      <w:pPr>
        <w:pStyle w:val="BodyText"/>
      </w:pPr>
      <w:r>
        <w:t xml:space="preserve">The</w:t>
      </w:r>
      <w:r>
        <w:t xml:space="preserve"> </w:t>
      </w:r>
      <w:r>
        <w:t xml:space="preserve">Mason</w:t>
      </w:r>
      <w:r>
        <w:t xml:space="preserve"> </w:t>
      </w:r>
      <w:r>
        <w:t xml:space="preserve">team assigned to this project will execute all masonry-related tasks including but not limited to: foundation wall construction using reinforced concrete blocks, load-bearing wall erection using standard 200mm x 200mm x 400mm concrete blocks, internal partition wall construction, lintel and beam installation, plastering (internal and external), and finishing works. The</w:t>
      </w:r>
      <w:r>
        <w:t xml:space="preserve"> </w:t>
      </w:r>
      <w:r>
        <w:t xml:space="preserve">Mason</w:t>
      </w:r>
      <w:r>
        <w:t xml:space="preserve"> </w:t>
      </w:r>
      <w:r>
        <w:t xml:space="preserve">crew will consist of one senior master mason, four skilled masons, and six laborers, all of whom are experienced in the construction standards and building codes applicable in Ethiopia Addis Ababa.</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(ETB)</w:t>
            </w:r>
          </w:p>
        </w:tc>
        <w:tc>
          <w:tcPr/>
          <w:p>
            <w:pPr>
              <w:pStyle w:val="Compact"/>
              <w:jc w:val="left"/>
            </w:pPr>
            <w:r>
              <w:t xml:space="preserve">Amount (ETB)</w:t>
            </w:r>
          </w:p>
        </w:tc>
      </w:tr>
      <w:tr>
        <w:tc>
          <w:tcPr/>
          <w:p>
            <w:pPr>
              <w:pStyle w:val="Compact"/>
              <w:jc w:val="left"/>
            </w:pPr>
            <w:r>
              <w:t xml:space="preserve">01</w:t>
            </w:r>
          </w:p>
        </w:tc>
        <w:tc>
          <w:tcPr/>
          <w:p>
            <w:pPr>
              <w:pStyle w:val="Compact"/>
              <w:jc w:val="left"/>
            </w:pPr>
            <w:r>
              <w:t xml:space="preserve">Foundation wall masonry (concrete blocks, 200mm thick, including mortar and reinforcement)</w:t>
            </w:r>
          </w:p>
        </w:tc>
        <w:tc>
          <w:tcPr/>
          <w:p>
            <w:pPr>
              <w:pStyle w:val="Compact"/>
              <w:jc w:val="left"/>
            </w:pPr>
            <w:r>
              <w:t xml:space="preserve">m³</w:t>
            </w:r>
          </w:p>
        </w:tc>
        <w:tc>
          <w:tcPr/>
          <w:p>
            <w:pPr>
              <w:pStyle w:val="Compact"/>
              <w:jc w:val="left"/>
            </w:pPr>
            <w:r>
              <w:t xml:space="preserve">45.0</w:t>
            </w:r>
          </w:p>
        </w:tc>
        <w:tc>
          <w:tcPr/>
          <w:p>
            <w:pPr>
              <w:pStyle w:val="Compact"/>
              <w:jc w:val="left"/>
            </w:pPr>
            <w:r>
              <w:t xml:space="preserve">4,850</w:t>
            </w:r>
          </w:p>
        </w:tc>
        <w:tc>
          <w:tcPr/>
          <w:p>
            <w:pPr>
              <w:pStyle w:val="Compact"/>
              <w:jc w:val="left"/>
            </w:pPr>
            <w:r>
              <w:t xml:space="preserve">218,250</w:t>
            </w:r>
          </w:p>
        </w:tc>
      </w:tr>
      <w:tr>
        <w:tc>
          <w:tcPr/>
          <w:p>
            <w:pPr>
              <w:pStyle w:val="Compact"/>
              <w:jc w:val="left"/>
            </w:pPr>
            <w:r>
              <w:t xml:space="preserve">02</w:t>
            </w:r>
          </w:p>
        </w:tc>
        <w:tc>
          <w:tcPr/>
          <w:p>
            <w:pPr>
              <w:pStyle w:val="Compact"/>
              <w:jc w:val="left"/>
            </w:pPr>
            <w:r>
              <w:t xml:space="preserve">Ground floor load-bearing external walls (concrete blocks, 200mm thick)</w:t>
            </w:r>
          </w:p>
        </w:tc>
        <w:tc>
          <w:tcPr/>
          <w:p>
            <w:pPr>
              <w:pStyle w:val="Compact"/>
              <w:jc w:val="left"/>
            </w:pPr>
            <w:r>
              <w:t xml:space="preserve">m³</w:t>
            </w:r>
          </w:p>
        </w:tc>
        <w:tc>
          <w:tcPr/>
          <w:p>
            <w:pPr>
              <w:pStyle w:val="Compact"/>
              <w:jc w:val="left"/>
            </w:pPr>
            <w:r>
              <w:t xml:space="preserve">120.0</w:t>
            </w:r>
          </w:p>
        </w:tc>
        <w:tc>
          <w:tcPr/>
          <w:p>
            <w:pPr>
              <w:pStyle w:val="Compact"/>
              <w:jc w:val="left"/>
            </w:pPr>
            <w:r>
              <w:t xml:space="preserve">4,200</w:t>
            </w:r>
          </w:p>
        </w:tc>
        <w:tc>
          <w:tcPr/>
          <w:p>
            <w:pPr>
              <w:pStyle w:val="Compact"/>
              <w:jc w:val="left"/>
            </w:pPr>
            <w:r>
              <w:t xml:space="preserve">504,000</w:t>
            </w:r>
          </w:p>
        </w:tc>
      </w:tr>
      <w:tr>
        <w:tc>
          <w:tcPr/>
          <w:p>
            <w:pPr>
              <w:pStyle w:val="Compact"/>
              <w:jc w:val="left"/>
            </w:pPr>
            <w:r>
              <w:t xml:space="preserve">03</w:t>
            </w:r>
          </w:p>
        </w:tc>
        <w:tc>
          <w:tcPr/>
          <w:p>
            <w:pPr>
              <w:pStyle w:val="Compact"/>
              <w:jc w:val="left"/>
            </w:pPr>
            <w:r>
              <w:t xml:space="preserve">First floor load-bearing external walls (concrete blocks, 200mm thick)</w:t>
            </w:r>
          </w:p>
        </w:tc>
        <w:tc>
          <w:tcPr/>
          <w:p>
            <w:pPr>
              <w:pStyle w:val="Compact"/>
              <w:jc w:val="left"/>
            </w:pPr>
            <w:r>
              <w:t xml:space="preserve">m³</w:t>
            </w:r>
          </w:p>
        </w:tc>
        <w:tc>
          <w:tcPr/>
          <w:p>
            <w:pPr>
              <w:pStyle w:val="Compact"/>
              <w:jc w:val="left"/>
            </w:pPr>
            <w:r>
              <w:t xml:space="preserve">115.0</w:t>
            </w:r>
          </w:p>
        </w:tc>
        <w:tc>
          <w:tcPr/>
          <w:p>
            <w:pPr>
              <w:pStyle w:val="Compact"/>
              <w:jc w:val="left"/>
            </w:pPr>
            <w:r>
              <w:t xml:space="preserve">4,200</w:t>
            </w:r>
          </w:p>
        </w:tc>
        <w:tc>
          <w:tcPr/>
          <w:p>
            <w:pPr>
              <w:pStyle w:val="Compact"/>
              <w:jc w:val="left"/>
            </w:pPr>
            <w:r>
              <w:t xml:space="preserve">483,000</w:t>
            </w:r>
          </w:p>
        </w:tc>
      </w:tr>
      <w:tr>
        <w:tc>
          <w:tcPr/>
          <w:p>
            <w:pPr>
              <w:pStyle w:val="Compact"/>
              <w:jc w:val="left"/>
            </w:pPr>
            <w:r>
              <w:t xml:space="preserve">04</w:t>
            </w:r>
          </w:p>
        </w:tc>
        <w:tc>
          <w:tcPr/>
          <w:p>
            <w:pPr>
              <w:pStyle w:val="Compact"/>
              <w:jc w:val="left"/>
            </w:pPr>
            <w:r>
              <w:t xml:space="preserve">Internal partition walls (concrete blocks, 100mm thick)</w:t>
            </w:r>
          </w:p>
        </w:tc>
        <w:tc>
          <w:tcPr/>
          <w:p>
            <w:pPr>
              <w:pStyle w:val="Compact"/>
              <w:jc w:val="left"/>
            </w:pPr>
            <w:r>
              <w:t xml:space="preserve">m³</w:t>
            </w:r>
          </w:p>
        </w:tc>
        <w:tc>
          <w:tcPr/>
          <w:p>
            <w:pPr>
              <w:pStyle w:val="Compact"/>
              <w:jc w:val="left"/>
            </w:pPr>
            <w:r>
              <w:t xml:space="preserve">85.0</w:t>
            </w:r>
          </w:p>
        </w:tc>
        <w:tc>
          <w:tcPr/>
          <w:p>
            <w:pPr>
              <w:pStyle w:val="Compact"/>
              <w:jc w:val="left"/>
            </w:pPr>
            <w:r>
              <w:t xml:space="preserve">3,600</w:t>
            </w:r>
          </w:p>
        </w:tc>
        <w:tc>
          <w:tcPr/>
          <w:p>
            <w:pPr>
              <w:pStyle w:val="Compact"/>
              <w:jc w:val="left"/>
            </w:pPr>
            <w:r>
              <w:t xml:space="preserve">306,000</w:t>
            </w:r>
          </w:p>
        </w:tc>
      </w:tr>
      <w:tr>
        <w:tc>
          <w:tcPr/>
          <w:p>
            <w:pPr>
              <w:pStyle w:val="Compact"/>
              <w:jc w:val="left"/>
            </w:pPr>
            <w:r>
              <w:t xml:space="preserve">05</w:t>
            </w:r>
          </w:p>
        </w:tc>
        <w:tc>
          <w:tcPr/>
          <w:p>
            <w:pPr>
              <w:pStyle w:val="Compact"/>
              <w:jc w:val="left"/>
            </w:pPr>
            <w:r>
              <w:t xml:space="preserve">Lintel and ring beam masonry (reinforced concrete, cast in situ)</w:t>
            </w:r>
          </w:p>
        </w:tc>
        <w:tc>
          <w:tcPr/>
          <w:p>
            <w:pPr>
              <w:pStyle w:val="Compact"/>
              <w:jc w:val="left"/>
            </w:pPr>
            <w:r>
              <w:t xml:space="preserve">m</w:t>
            </w:r>
          </w:p>
        </w:tc>
        <w:tc>
          <w:tcPr/>
          <w:p>
            <w:pPr>
              <w:pStyle w:val="Compact"/>
              <w:jc w:val="left"/>
            </w:pPr>
            <w:r>
              <w:t xml:space="preserve">180.0</w:t>
            </w:r>
          </w:p>
        </w:tc>
        <w:tc>
          <w:tcPr/>
          <w:p>
            <w:pPr>
              <w:pStyle w:val="Compact"/>
              <w:jc w:val="left"/>
            </w:pPr>
            <w:r>
              <w:t xml:space="preserve">2,850</w:t>
            </w:r>
          </w:p>
        </w:tc>
        <w:tc>
          <w:tcPr/>
          <w:p>
            <w:pPr>
              <w:pStyle w:val="Compact"/>
              <w:jc w:val="left"/>
            </w:pPr>
            <w:r>
              <w:t xml:space="preserve">513,000</w:t>
            </w:r>
          </w:p>
        </w:tc>
      </w:tr>
      <w:tr>
        <w:tc>
          <w:tcPr/>
          <w:p>
            <w:pPr>
              <w:pStyle w:val="Compact"/>
              <w:jc w:val="left"/>
            </w:pPr>
            <w:r>
              <w:t xml:space="preserve">06</w:t>
            </w:r>
          </w:p>
        </w:tc>
        <w:tc>
          <w:tcPr/>
          <w:p>
            <w:pPr>
              <w:pStyle w:val="Compact"/>
              <w:jc w:val="left"/>
            </w:pPr>
            <w:r>
              <w:t xml:space="preserve">Internal plastering (cement-sand mortar, 15mm thick, both floors)</w:t>
            </w:r>
          </w:p>
        </w:tc>
        <w:tc>
          <w:tcPr/>
          <w:p>
            <w:pPr>
              <w:pStyle w:val="Compact"/>
              <w:jc w:val="left"/>
            </w:pPr>
            <w:r>
              <w:t xml:space="preserve">m²</w:t>
            </w:r>
          </w:p>
        </w:tc>
        <w:tc>
          <w:tcPr/>
          <w:p>
            <w:pPr>
              <w:pStyle w:val="Compact"/>
              <w:jc w:val="left"/>
            </w:pPr>
            <w:r>
              <w:t xml:space="preserve">620.0</w:t>
            </w:r>
          </w:p>
        </w:tc>
        <w:tc>
          <w:tcPr/>
          <w:p>
            <w:pPr>
              <w:pStyle w:val="Compact"/>
              <w:jc w:val="left"/>
            </w:pPr>
            <w:r>
              <w:t xml:space="preserve">480</w:t>
            </w:r>
          </w:p>
        </w:tc>
        <w:tc>
          <w:tcPr/>
          <w:p>
            <w:pPr>
              <w:pStyle w:val="Compact"/>
              <w:jc w:val="left"/>
            </w:pPr>
            <w:r>
              <w:t xml:space="preserve">297,600</w:t>
            </w:r>
          </w:p>
        </w:tc>
      </w:tr>
      <w:tr>
        <w:tc>
          <w:tcPr/>
          <w:p>
            <w:pPr>
              <w:pStyle w:val="Compact"/>
              <w:jc w:val="left"/>
            </w:pPr>
            <w:r>
              <w:t xml:space="preserve">07</w:t>
            </w:r>
          </w:p>
        </w:tc>
        <w:tc>
          <w:tcPr/>
          <w:p>
            <w:pPr>
              <w:pStyle w:val="Compact"/>
              <w:jc w:val="left"/>
            </w:pPr>
            <w:r>
              <w:t xml:space="preserve">External plastering and rendering (cement-sand mortar, 20mm thick)</w:t>
            </w:r>
          </w:p>
        </w:tc>
        <w:tc>
          <w:tcPr/>
          <w:p>
            <w:pPr>
              <w:pStyle w:val="Compact"/>
              <w:jc w:val="left"/>
            </w:pPr>
            <w:r>
              <w:t xml:space="preserve">m²</w:t>
            </w:r>
          </w:p>
        </w:tc>
        <w:tc>
          <w:tcPr/>
          <w:p>
            <w:pPr>
              <w:pStyle w:val="Compact"/>
              <w:jc w:val="left"/>
            </w:pPr>
            <w:r>
              <w:t xml:space="preserve">410.0</w:t>
            </w:r>
          </w:p>
        </w:tc>
        <w:tc>
          <w:tcPr/>
          <w:p>
            <w:pPr>
              <w:pStyle w:val="Compact"/>
              <w:jc w:val="left"/>
            </w:pPr>
            <w:r>
              <w:t xml:space="preserve">550</w:t>
            </w:r>
          </w:p>
        </w:tc>
        <w:tc>
          <w:tcPr/>
          <w:p>
            <w:pPr>
              <w:pStyle w:val="Compact"/>
              <w:jc w:val="left"/>
            </w:pPr>
            <w:r>
              <w:t xml:space="preserve">225,500</w:t>
            </w:r>
          </w:p>
        </w:tc>
      </w:tr>
      <w:tr>
        <w:tc>
          <w:tcPr/>
          <w:p>
            <w:pPr>
              <w:pStyle w:val="Compact"/>
              <w:jc w:val="left"/>
            </w:pPr>
            <w:r>
              <w:t xml:space="preserve">08</w:t>
            </w:r>
          </w:p>
        </w:tc>
        <w:tc>
          <w:tcPr/>
          <w:p>
            <w:pPr>
              <w:pStyle w:val="Compact"/>
              <w:jc w:val="left"/>
            </w:pPr>
            <w:r>
              <w:t xml:space="preserve">Staircase masonry (concrete blocks with concrete treads, 14 steps)</w:t>
            </w:r>
          </w:p>
        </w:tc>
        <w:tc>
          <w:tcPr/>
          <w:p>
            <w:pPr>
              <w:pStyle w:val="Compact"/>
              <w:jc w:val="left"/>
            </w:pPr>
            <w:r>
              <w:t xml:space="preserve">Lot</w:t>
            </w:r>
          </w:p>
        </w:tc>
        <w:tc>
          <w:tcPr/>
          <w:p>
            <w:pPr>
              <w:pStyle w:val="Compact"/>
              <w:jc w:val="left"/>
            </w:pPr>
            <w:r>
              <w:t xml:space="preserve">1.0</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09</w:t>
            </w:r>
          </w:p>
        </w:tc>
        <w:tc>
          <w:tcPr/>
          <w:p>
            <w:pPr>
              <w:pStyle w:val="Compact"/>
              <w:jc w:val="left"/>
            </w:pPr>
            <w:r>
              <w:t xml:space="preserve">Door and window frame masonry (jambs, sills, and lintels)</w:t>
            </w:r>
          </w:p>
        </w:tc>
        <w:tc>
          <w:tcPr/>
          <w:p>
            <w:pPr>
              <w:pStyle w:val="Compact"/>
              <w:jc w:val="left"/>
            </w:pPr>
            <w:r>
              <w:t xml:space="preserve">Lot</w:t>
            </w:r>
          </w:p>
        </w:tc>
        <w:tc>
          <w:tcPr/>
          <w:p>
            <w:pPr>
              <w:pStyle w:val="Compact"/>
              <w:jc w:val="left"/>
            </w:pPr>
            <w:r>
              <w:t xml:space="preserve">1.0</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10</w:t>
            </w:r>
          </w:p>
        </w:tc>
        <w:tc>
          <w:tcPr/>
          <w:p>
            <w:pPr>
              <w:pStyle w:val="Compact"/>
              <w:jc w:val="left"/>
            </w:pPr>
            <w:r>
              <w:t xml:space="preserve">Scaffolding, formwork, and temporary masonry support structures</w:t>
            </w:r>
          </w:p>
        </w:tc>
        <w:tc>
          <w:tcPr/>
          <w:p>
            <w:pPr>
              <w:pStyle w:val="Compact"/>
              <w:jc w:val="left"/>
            </w:pPr>
            <w:r>
              <w:t xml:space="preserve">Lot</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11</w:t>
            </w:r>
          </w:p>
        </w:tc>
        <w:tc>
          <w:tcPr/>
          <w:p>
            <w:pPr>
              <w:pStyle w:val="Compact"/>
              <w:jc w:val="left"/>
            </w:pPr>
            <w:r>
              <w:t xml:space="preserve">Site cleanup, waste removal, and material handling (masonry debris)</w:t>
            </w:r>
          </w:p>
        </w:tc>
        <w:tc>
          <w:tcPr/>
          <w:p>
            <w:pPr>
              <w:pStyle w:val="Compact"/>
              <w:jc w:val="left"/>
            </w:pPr>
            <w:r>
              <w:t xml:space="preserve">Lot</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12</w:t>
            </w:r>
          </w:p>
        </w:tc>
        <w:tc>
          <w:tcPr/>
          <w:p>
            <w:pPr>
              <w:pStyle w:val="Compact"/>
              <w:jc w:val="left"/>
            </w:pPr>
            <w:r>
              <w:t xml:space="preserve">Project supervision by senior Mason and site engineer (full duration)</w:t>
            </w:r>
          </w:p>
        </w:tc>
        <w:tc>
          <w:tcPr/>
          <w:p>
            <w:pPr>
              <w:pStyle w:val="Compact"/>
              <w:jc w:val="left"/>
            </w:pPr>
            <w:r>
              <w:t xml:space="preserve">Lot</w:t>
            </w:r>
          </w:p>
        </w:tc>
        <w:tc>
          <w:tcPr/>
          <w:p>
            <w:pPr>
              <w:pStyle w:val="Compact"/>
              <w:jc w:val="left"/>
            </w:pPr>
            <w:r>
              <w:t xml:space="preserve">1.0</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left"/>
            </w:pPr>
            <w:r>
              <w:t xml:space="preserve">TOTAL ESTIMATED COST (ETB)</w:t>
            </w:r>
          </w:p>
        </w:tc>
        <w:tc>
          <w:tcPr/>
          <w:p>
            <w:pPr>
              <w:pStyle w:val="Compact"/>
              <w:jc w:val="left"/>
            </w:pPr>
            <w:r>
              <w:t xml:space="preserve">2,942,350</w:t>
            </w:r>
          </w:p>
        </w:tc>
      </w:tr>
    </w:tbl>
    <w:p>
      <w:pPr>
        <w:pStyle w:val="BodyText"/>
      </w:pPr>
      <w:r>
        <w:t xml:space="preserve">Terms and Conditions</w:t>
      </w:r>
    </w:p>
    <w:p>
      <w:pPr>
        <w:pStyle w:val="BodyText"/>
      </w:pPr>
      <w:r>
        <w:rPr>
          <w:bCs/>
          <w:b/>
        </w:rPr>
        <w:t xml:space="preserve">1.</w:t>
      </w:r>
      <w:r>
        <w:t xml:space="preserve"> </w:t>
      </w:r>
      <w:r>
        <w:t xml:space="preserve">This</w:t>
      </w:r>
      <w:r>
        <w:t xml:space="preserve"> </w:t>
      </w:r>
      <w:r>
        <w:t xml:space="preserve">Quotation Estimate</w:t>
      </w:r>
      <w:r>
        <w:t xml:space="preserve"> </w:t>
      </w:r>
      <w:r>
        <w:t xml:space="preserve">is valid for thirty (30) calendar days from the date of issue. Prices are subject to revision based on fluctuations in material costs within the Ethiopia Addis Ababa market.</w:t>
      </w:r>
    </w:p>
    <w:p>
      <w:pPr>
        <w:pStyle w:val="BodyText"/>
      </w:pPr>
      <w:r>
        <w:rPr>
          <w:bCs/>
          <w:b/>
        </w:rPr>
        <w:t xml:space="preserve">2.</w:t>
      </w:r>
      <w:r>
        <w:t xml:space="preserve"> </w:t>
      </w:r>
      <w:r>
        <w:t xml:space="preserve">Payment shall be made in four (4) installments: 30% upon contract signing, 30% upon completion of ground floor masonry, 30% upon completion of first floor masonry, and 10% upon final handover and client acceptance.</w:t>
      </w:r>
    </w:p>
    <w:p>
      <w:pPr>
        <w:pStyle w:val="BodyText"/>
      </w:pPr>
      <w:r>
        <w:rPr>
          <w:bCs/>
          <w:b/>
        </w:rPr>
        <w:t xml:space="preserve">3.</w:t>
      </w:r>
      <w:r>
        <w:t xml:space="preserve"> </w:t>
      </w:r>
      <w:r>
        <w:t xml:space="preserve">The</w:t>
      </w:r>
      <w:r>
        <w:t xml:space="preserve"> </w:t>
      </w:r>
      <w:r>
        <w:t xml:space="preserve">Mason</w:t>
      </w:r>
      <w:r>
        <w:t xml:space="preserve"> </w:t>
      </w:r>
      <w:r>
        <w:t xml:space="preserve">team shall adhere to all applicable Ethiopian building codes, Addis Ababa City Construction Authority regulations, and safety standards. All workers shall be covered under the Ethiopian Social Security Insurance.</w:t>
      </w:r>
    </w:p>
    <w:p>
      <w:pPr>
        <w:pStyle w:val="BodyText"/>
      </w:pPr>
      <w:r>
        <w:rPr>
          <w:bCs/>
          <w:b/>
        </w:rPr>
        <w:t xml:space="preserve">4.</w:t>
      </w:r>
      <w:r>
        <w:t xml:space="preserve"> </w:t>
      </w:r>
      <w:r>
        <w:t xml:space="preserve">The estimated project duration for all masonry works is twelve (12) weeks from the date of commencement, subject to weather conditions and client-approved design changes.</w:t>
      </w:r>
    </w:p>
    <w:p>
      <w:pPr>
        <w:pStyle w:val="BodyText"/>
      </w:pPr>
      <w:r>
        <w:rPr>
          <w:bCs/>
          <w:b/>
        </w:rPr>
        <w:t xml:space="preserve">5.</w:t>
      </w:r>
      <w:r>
        <w:t xml:space="preserve"> </w:t>
      </w:r>
      <w:r>
        <w:t xml:space="preserve">Any variation in scope beyond 10% of the original</w:t>
      </w:r>
      <w:r>
        <w:t xml:space="preserve"> </w:t>
      </w:r>
      <w:r>
        <w:t xml:space="preserve">Quotation Estimate</w:t>
      </w:r>
      <w:r>
        <w:t xml:space="preserve"> </w:t>
      </w:r>
      <w:r>
        <w:t xml:space="preserve">shall require a written amendment signed by both parties before additional work commences.</w:t>
      </w:r>
    </w:p>
    <w:p>
      <w:pPr>
        <w:pStyle w:val="BodyText"/>
      </w:pPr>
      <w:r>
        <w:rPr>
          <w:bCs/>
          <w:b/>
        </w:rPr>
        <w:t xml:space="preserve">6.</w:t>
      </w:r>
      <w:r>
        <w:t xml:space="preserve"> </w:t>
      </w:r>
      <w:r>
        <w:t xml:space="preserve">All masonry materials (concrete blocks, cement, sand, rebar, and mortar) shall be sourced from approved suppliers in Ethiopia Addis Ababa and shall meet Ethiopian Standards Agency (ESA) specifications.</w:t>
      </w:r>
    </w:p>
    <w:p>
      <w:pPr>
        <w:pStyle w:val="BodyText"/>
      </w:pPr>
      <w:r>
        <w:rPr>
          <w:bCs/>
          <w:b/>
        </w:rPr>
        <w:t xml:space="preserve">7.</w:t>
      </w:r>
      <w:r>
        <w:t xml:space="preserve"> </w:t>
      </w:r>
      <w:r>
        <w:t xml:space="preserve">The client is responsible for obtaining all necessary building permits from the Addis Ababa City Construction Authority prior to commencement of masonry work.</w:t>
      </w:r>
    </w:p>
    <w:p>
      <w:pPr>
        <w:pStyle w:val="BodyText"/>
      </w:pPr>
      <w:r>
        <w:rPr>
          <w:bCs/>
          <w:b/>
        </w:rPr>
        <w:t xml:space="preserve">8.</w:t>
      </w:r>
      <w:r>
        <w:t xml:space="preserve"> </w:t>
      </w:r>
      <w:r>
        <w:t xml:space="preserve">A one-year warranty is provided on all masonry work against defects in workmanship. This warranty does not cover damage caused by natural disasters, unauthorized modifications, or normal wear and tear.</w:t>
      </w:r>
    </w:p>
    <w:p>
      <w:pPr>
        <w:pStyle w:val="BodyText"/>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w:t>
      </w:r>
      <w:r>
        <w:t xml:space="preserve"> </w:t>
      </w:r>
      <w:r>
        <w:t xml:space="preserve">Mason</w:t>
      </w:r>
      <w:r>
        <w:t xml:space="preserve"> </w:t>
      </w:r>
      <w:r>
        <w:t xml:space="preserve">services to be performed in</w:t>
      </w:r>
      <w:r>
        <w:t xml:space="preserve"> </w:t>
      </w:r>
      <w:r>
        <w:t xml:space="preserve">Ethiopia Addis Ababa</w:t>
      </w:r>
      <w:r>
        <w:t xml:space="preserve">. This document, once signed by both parties, constitutes a binding agreement for the masonry construction works described above.</w:t>
      </w:r>
    </w:p>
    <w:p>
      <w:pPr>
        <w:pStyle w:val="BodyText"/>
      </w:pPr>
      <w:r>
        <w:rPr>
          <w:bCs/>
          <w:b/>
        </w:rPr>
        <w:t xml:space="preserve">Prepared By:</w:t>
      </w:r>
      <w:r>
        <w:br/>
      </w:r>
      <w:r>
        <w:t xml:space="preserve">Abay Construction &amp; Mason Services PLC</w:t>
      </w:r>
      <w:r>
        <w:br/>
      </w:r>
      <w:r>
        <w:t xml:space="preserve">Name: Eng. Dawit Bekele (Senior Mason &amp; Project Manager)</w:t>
      </w:r>
      <w:r>
        <w:br/>
      </w:r>
      <w:r>
        <w:t xml:space="preserve">Signature: _________________________</w:t>
      </w:r>
      <w:r>
        <w:br/>
      </w:r>
      <w:r>
        <w:t xml:space="preserve">Date: _________________________</w:t>
      </w:r>
    </w:p>
    <w:p>
      <w:pPr>
        <w:pStyle w:val="BodyText"/>
      </w:pPr>
      <w:r>
        <w:rPr>
          <w:bCs/>
          <w:b/>
        </w:rPr>
        <w:t xml:space="preserve">Accepted By (Client):</w:t>
      </w:r>
      <w:r>
        <w:br/>
      </w:r>
      <w:r>
        <w:t xml:space="preserve">Mr. Tesfaye Alemu</w:t>
      </w:r>
      <w:r>
        <w:br/>
      </w:r>
      <w:r>
        <w:t xml:space="preserve">Signature: _________________________</w:t>
      </w:r>
      <w:r>
        <w:br/>
      </w:r>
      <w:r>
        <w:t xml:space="preserve">Date: _________________________</w:t>
      </w:r>
    </w:p>
    <w:p>
      <w:pPr>
        <w:pStyle w:val="BodyText"/>
      </w:pPr>
      <w:r>
        <w:t xml:space="preserve">This Quotation Estimate document was prepared by Abay Construction &amp; Mason Services PLC, Ethiopia Addis Ababa. All rights reserved. Document Ref: QE-MAS-2025-0087. For inquiries regarding this Mason services quotation, please contact our office at +251-11-555-0198 or visit our premises at Bole Sub-City, Addis Ababa,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Ethiopia Addis Ababa</dc:title>
  <dc:creator/>
  <dc:language>en</dc:language>
  <cp:keywords/>
  <dcterms:created xsi:type="dcterms:W3CDTF">2026-10-10T04:04:36Z</dcterms:created>
  <dcterms:modified xsi:type="dcterms:W3CDTF">2026-10-10T04:04:36Z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