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Mason</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quotation-estimate"/>
    <w:p>
      <w:pPr>
        <w:pStyle w:val="Heading1"/>
      </w:pPr>
      <w:r>
        <w:t xml:space="preserve">QUOTATION ESTIMATE</w:t>
      </w:r>
    </w:p>
    <w:p>
      <w:pPr>
        <w:pStyle w:val="FirstParagraph"/>
      </w:pPr>
      <w:r>
        <w:t xml:space="preserve">Professional Mason &amp; Masonry Services — Ghana Accra</w:t>
      </w:r>
    </w:p>
    <w:p>
      <w:pPr>
        <w:pStyle w:val="BodyText"/>
      </w:pPr>
      <w:r>
        <w:t xml:space="preserve">Document No: QE-GHA-ACC-2025-0417</w:t>
      </w:r>
    </w:p>
    <w:bookmarkEnd w:id="20"/>
    <w:p>
      <w:pPr>
        <w:pStyle w:val="BodyText"/>
      </w:pPr>
      <w:r>
        <w:rPr>
          <w:bCs/>
          <w:b/>
        </w:rPr>
        <w:t xml:space="preserve">Prepared By:</w:t>
      </w:r>
      <w:r>
        <w:br/>
      </w:r>
      <w:r>
        <w:t xml:space="preserve">Accra Mason &amp; Build Ltd.</w:t>
      </w:r>
      <w:r>
        <w:br/>
      </w:r>
      <w:r>
        <w:t xml:space="preserve">14 Independence Avenue, Osu</w:t>
      </w:r>
      <w:r>
        <w:br/>
      </w:r>
      <w:r>
        <w:t xml:space="preserve">Accra, Ghana</w:t>
      </w:r>
      <w:r>
        <w:br/>
      </w:r>
      <w:r>
        <w:t xml:space="preserve">Tel: +233 (0) 30 274 5512</w:t>
      </w:r>
      <w:r>
        <w:br/>
      </w:r>
      <w:r>
        <w:t xml:space="preserve">Email: quotes@accramasonbuild.com.gh</w:t>
      </w:r>
    </w:p>
    <w:p>
      <w:pPr>
        <w:pStyle w:val="BodyText"/>
      </w:pPr>
      <w:r>
        <w:rPr>
          <w:bCs/>
          <w:b/>
        </w:rPr>
        <w:t xml:space="preserve">Prepared For:</w:t>
      </w:r>
      <w:r>
        <w:br/>
      </w:r>
      <w:r>
        <w:t xml:space="preserve">Mr. Kwame Asante</w:t>
      </w:r>
      <w:r>
        <w:br/>
      </w:r>
      <w:r>
        <w:t xml:space="preserve">22 Aburi Road, East Legon</w:t>
      </w:r>
      <w:r>
        <w:br/>
      </w:r>
      <w:r>
        <w:t xml:space="preserve">Accra, Ghana</w:t>
      </w:r>
      <w:r>
        <w:br/>
      </w:r>
      <w:r>
        <w:t xml:space="preserve">Tel: +233 (0) 24 881 3367</w:t>
      </w:r>
      <w:r>
        <w:br/>
      </w:r>
      <w:r>
        <w:t xml:space="preserve">Email: k.asante@email.com</w:t>
      </w:r>
    </w:p>
    <w:p>
      <w:pPr>
        <w:pStyle w:val="BodyText"/>
      </w:pPr>
      <w:r>
        <w:t xml:space="preserve">1. Quotation Estimate Summary</w:t>
      </w:r>
    </w:p>
    <w:p>
      <w:pPr>
        <w:pStyle w:val="BodyText"/>
      </w:pPr>
      <w:r>
        <w:t xml:space="preserve">This</w:t>
      </w:r>
      <w:r>
        <w:t xml:space="preserve"> </w:t>
      </w:r>
      <w:r>
        <w:t xml:space="preserve">Quotation Estimate</w:t>
      </w:r>
      <w:r>
        <w:t xml:space="preserve"> </w:t>
      </w:r>
      <w:r>
        <w:t xml:space="preserve">is issued by Accra Mason &amp; Build Ltd. in response to the request for comprehensive</w:t>
      </w:r>
      <w:r>
        <w:t xml:space="preserve"> </w:t>
      </w:r>
      <w:r>
        <w:t xml:space="preserve">Mason</w:t>
      </w:r>
      <w:r>
        <w:t xml:space="preserve"> </w:t>
      </w:r>
      <w:r>
        <w:t xml:space="preserve">and masonry services for a residential construction project located in</w:t>
      </w:r>
      <w:r>
        <w:t xml:space="preserve"> </w:t>
      </w:r>
      <w:r>
        <w:t xml:space="preserve">Ghana Accra</w:t>
      </w:r>
      <w:r>
        <w:t xml:space="preserve">. This document outlines the full scope of work, material specifications, labour charges, and associated costs for the masonry phase of the client's two-storey dwelling at East Legon, Accra. The</w:t>
      </w:r>
      <w:r>
        <w:t xml:space="preserve"> </w:t>
      </w:r>
      <w:r>
        <w:t xml:space="preserve">Quotation Estimate</w:t>
      </w:r>
      <w:r>
        <w:t xml:space="preserve"> </w:t>
      </w:r>
      <w:r>
        <w:t xml:space="preserve">is valid for a period of thirty (30) calendar days from the date of issue, after which pricing may be subject to revision due to fluctuations in material costs within the</w:t>
      </w:r>
      <w:r>
        <w:t xml:space="preserve"> </w:t>
      </w:r>
      <w:r>
        <w:t xml:space="preserve">Ghana Accra</w:t>
      </w:r>
      <w:r>
        <w:t xml:space="preserve"> </w:t>
      </w:r>
      <w:r>
        <w:t xml:space="preserve">construction market.</w:t>
      </w:r>
    </w:p>
    <w:p>
      <w:pPr>
        <w:pStyle w:val="BodyText"/>
      </w:pPr>
      <w:r>
        <w:t xml:space="preserve">2. Scope of Mason Work</w:t>
      </w:r>
    </w:p>
    <w:p>
      <w:pPr>
        <w:pStyle w:val="BodyText"/>
      </w:pPr>
      <w:r>
        <w:t xml:space="preserve">The</w:t>
      </w:r>
      <w:r>
        <w:t xml:space="preserve"> </w:t>
      </w:r>
      <w:r>
        <w:t xml:space="preserve">Mason</w:t>
      </w:r>
      <w:r>
        <w:t xml:space="preserve"> </w:t>
      </w:r>
      <w:r>
        <w:t xml:space="preserve">team assigned to this project will execute all masonry works as detailed below. Our senior</w:t>
      </w:r>
      <w:r>
        <w:t xml:space="preserve"> </w:t>
      </w:r>
      <w:r>
        <w:t xml:space="preserve">Mason</w:t>
      </w:r>
      <w:r>
        <w:t xml:space="preserve">, with over fifteen years of experience in residential and commercial construction across</w:t>
      </w:r>
      <w:r>
        <w:t xml:space="preserve"> </w:t>
      </w:r>
      <w:r>
        <w:t xml:space="preserve">Ghana Accra</w:t>
      </w:r>
      <w:r>
        <w:t xml:space="preserve">, will supervise all operations to ensure compliance with the Ghana Building and Planning Code and local structural standards.</w:t>
      </w:r>
    </w:p>
    <w:p>
      <w:pPr>
        <w:numPr>
          <w:ilvl w:val="0"/>
          <w:numId w:val="1001"/>
        </w:numPr>
        <w:pStyle w:val="Compact"/>
      </w:pPr>
      <w:r>
        <w:t xml:space="preserve">Construction of load-bearing walls (ground floor and first floor) using 9-inch and 6-inch concrete blocks, totaling approximately 4,200 blocks.</w:t>
      </w:r>
    </w:p>
    <w:p>
      <w:pPr>
        <w:numPr>
          <w:ilvl w:val="0"/>
          <w:numId w:val="1001"/>
        </w:numPr>
        <w:pStyle w:val="Compact"/>
      </w:pPr>
      <w:r>
        <w:t xml:space="preserve">Construction of internal partition walls using 4-inch hollow blocks, estimated at 1,800 blocks.</w:t>
      </w:r>
    </w:p>
    <w:p>
      <w:pPr>
        <w:numPr>
          <w:ilvl w:val="0"/>
          <w:numId w:val="1001"/>
        </w:numPr>
        <w:pStyle w:val="Compact"/>
      </w:pPr>
      <w:r>
        <w:t xml:space="preserve">Building of external perimeter walls with a height of 3.6 metres, incorporating proper foundation tie-in as per the approved architectural drawings.</w:t>
      </w:r>
    </w:p>
    <w:p>
      <w:pPr>
        <w:numPr>
          <w:ilvl w:val="0"/>
          <w:numId w:val="1001"/>
        </w:numPr>
        <w:pStyle w:val="Compact"/>
      </w:pPr>
      <w:r>
        <w:t xml:space="preserve">Installation of lintels, ring beams, and column reinforcement at all door and window openings.</w:t>
      </w:r>
    </w:p>
    <w:p>
      <w:pPr>
        <w:numPr>
          <w:ilvl w:val="0"/>
          <w:numId w:val="1001"/>
        </w:numPr>
        <w:pStyle w:val="Compact"/>
      </w:pPr>
      <w:r>
        <w:t xml:space="preserve">Application of cement mortar (1:4 mix ratio) for all blockwork and 1:3 mix for plastering surfaces.</w:t>
      </w:r>
    </w:p>
    <w:p>
      <w:pPr>
        <w:numPr>
          <w:ilvl w:val="0"/>
          <w:numId w:val="1001"/>
        </w:numPr>
        <w:pStyle w:val="Compact"/>
      </w:pPr>
      <w:r>
        <w:t xml:space="preserve">Construction of a rear service wall and boundary wall (12 linear metres) at the rear of the property.</w:t>
      </w:r>
    </w:p>
    <w:p>
      <w:pPr>
        <w:numPr>
          <w:ilvl w:val="0"/>
          <w:numId w:val="1001"/>
        </w:numPr>
        <w:pStyle w:val="Compact"/>
      </w:pPr>
      <w:r>
        <w:t xml:space="preserve">Preparation and finishing of all masonry surfaces ready for subsequent plastering and painting phases.</w:t>
      </w:r>
    </w:p>
    <w:p>
      <w:pPr>
        <w:pStyle w:val="FirstParagraph"/>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Mason Work</w:t>
            </w:r>
          </w:p>
        </w:tc>
        <w:tc>
          <w:tcPr/>
          <w:p>
            <w:pPr>
              <w:pStyle w:val="Compact"/>
              <w:jc w:val="left"/>
            </w:pPr>
            <w:r>
              <w:t xml:space="preserve">Quantity</w:t>
            </w:r>
          </w:p>
        </w:tc>
        <w:tc>
          <w:tcPr/>
          <w:p>
            <w:pPr>
              <w:pStyle w:val="Compact"/>
              <w:jc w:val="left"/>
            </w:pPr>
            <w:r>
              <w:t xml:space="preserve">Unit Rate (GHS)</w:t>
            </w:r>
          </w:p>
        </w:tc>
        <w:tc>
          <w:tcPr/>
          <w:p>
            <w:pPr>
              <w:pStyle w:val="Compact"/>
              <w:jc w:val="left"/>
            </w:pPr>
            <w:r>
              <w:t xml:space="preserve">Amount (GHS)</w:t>
            </w:r>
          </w:p>
        </w:tc>
      </w:tr>
      <w:tr>
        <w:tc>
          <w:tcPr/>
          <w:p>
            <w:pPr>
              <w:pStyle w:val="Compact"/>
              <w:jc w:val="left"/>
            </w:pPr>
            <w:r>
              <w:t xml:space="preserve">1</w:t>
            </w:r>
          </w:p>
        </w:tc>
        <w:tc>
          <w:tcPr/>
          <w:p>
            <w:pPr>
              <w:pStyle w:val="Compact"/>
              <w:jc w:val="left"/>
            </w:pPr>
            <w:r>
              <w:t xml:space="preserve">9-inch concrete blockwork (load-bearing walls, both floors)</w:t>
            </w:r>
          </w:p>
        </w:tc>
        <w:tc>
          <w:tcPr/>
          <w:p>
            <w:pPr>
              <w:pStyle w:val="Compact"/>
              <w:jc w:val="left"/>
            </w:pPr>
            <w:r>
              <w:t xml:space="preserve">4,200 blocks</w:t>
            </w:r>
          </w:p>
        </w:tc>
        <w:tc>
          <w:tcPr/>
          <w:p>
            <w:pPr>
              <w:pStyle w:val="Compact"/>
              <w:jc w:val="left"/>
            </w:pPr>
            <w:r>
              <w:t xml:space="preserve">85.00</w:t>
            </w:r>
          </w:p>
        </w:tc>
        <w:tc>
          <w:tcPr/>
          <w:p>
            <w:pPr>
              <w:pStyle w:val="Compact"/>
              <w:jc w:val="left"/>
            </w:pPr>
            <w:r>
              <w:t xml:space="preserve">357,000.00</w:t>
            </w:r>
          </w:p>
        </w:tc>
      </w:tr>
      <w:tr>
        <w:tc>
          <w:tcPr/>
          <w:p>
            <w:pPr>
              <w:pStyle w:val="Compact"/>
              <w:jc w:val="left"/>
            </w:pPr>
            <w:r>
              <w:t xml:space="preserve">2</w:t>
            </w:r>
          </w:p>
        </w:tc>
        <w:tc>
          <w:tcPr/>
          <w:p>
            <w:pPr>
              <w:pStyle w:val="Compact"/>
              <w:jc w:val="left"/>
            </w:pPr>
            <w:r>
              <w:t xml:space="preserve">4-inch hollow blockwork (internal partitions)</w:t>
            </w:r>
          </w:p>
        </w:tc>
        <w:tc>
          <w:tcPr/>
          <w:p>
            <w:pPr>
              <w:pStyle w:val="Compact"/>
              <w:jc w:val="left"/>
            </w:pPr>
            <w:r>
              <w:t xml:space="preserve">1,800 blocks</w:t>
            </w:r>
          </w:p>
        </w:tc>
        <w:tc>
          <w:tcPr/>
          <w:p>
            <w:pPr>
              <w:pStyle w:val="Compact"/>
              <w:jc w:val="left"/>
            </w:pPr>
            <w:r>
              <w:t xml:space="preserve">62.00</w:t>
            </w:r>
          </w:p>
        </w:tc>
        <w:tc>
          <w:tcPr/>
          <w:p>
            <w:pPr>
              <w:pStyle w:val="Compact"/>
              <w:jc w:val="left"/>
            </w:pPr>
            <w:r>
              <w:t xml:space="preserve">111,600.00</w:t>
            </w:r>
          </w:p>
        </w:tc>
      </w:tr>
      <w:tr>
        <w:tc>
          <w:tcPr/>
          <w:p>
            <w:pPr>
              <w:pStyle w:val="Compact"/>
              <w:jc w:val="left"/>
            </w:pPr>
            <w:r>
              <w:t xml:space="preserve">3</w:t>
            </w:r>
          </w:p>
        </w:tc>
        <w:tc>
          <w:tcPr/>
          <w:p>
            <w:pPr>
              <w:pStyle w:val="Compact"/>
              <w:jc w:val="left"/>
            </w:pPr>
            <w:r>
              <w:t xml:space="preserve">Cement mortar supply and application (1:4 and 1:3 mixes)</w:t>
            </w:r>
          </w:p>
        </w:tc>
        <w:tc>
          <w:tcPr/>
          <w:p>
            <w:pPr>
              <w:pStyle w:val="Compact"/>
              <w:jc w:val="left"/>
            </w:pPr>
            <w:r>
              <w:t xml:space="preserve">280 bags</w:t>
            </w:r>
          </w:p>
        </w:tc>
        <w:tc>
          <w:tcPr/>
          <w:p>
            <w:pPr>
              <w:pStyle w:val="Compact"/>
              <w:jc w:val="left"/>
            </w:pPr>
            <w:r>
              <w:t xml:space="preserve">145.00</w:t>
            </w:r>
          </w:p>
        </w:tc>
        <w:tc>
          <w:tcPr/>
          <w:p>
            <w:pPr>
              <w:pStyle w:val="Compact"/>
              <w:jc w:val="left"/>
            </w:pPr>
            <w:r>
              <w:t xml:space="preserve">40,600.00</w:t>
            </w:r>
          </w:p>
        </w:tc>
      </w:tr>
      <w:tr>
        <w:tc>
          <w:tcPr/>
          <w:p>
            <w:pPr>
              <w:pStyle w:val="Compact"/>
              <w:jc w:val="left"/>
            </w:pPr>
            <w:r>
              <w:t xml:space="preserve">4</w:t>
            </w:r>
          </w:p>
        </w:tc>
        <w:tc>
          <w:tcPr/>
          <w:p>
            <w:pPr>
              <w:pStyle w:val="Compact"/>
              <w:jc w:val="left"/>
            </w:pPr>
            <w:r>
              <w:t xml:space="preserve">Lintel and ring beam installation (RC)</w:t>
            </w:r>
          </w:p>
        </w:tc>
        <w:tc>
          <w:tcPr/>
          <w:p>
            <w:pPr>
              <w:pStyle w:val="Compact"/>
              <w:jc w:val="left"/>
            </w:pPr>
            <w:r>
              <w:t xml:space="preserve">34 units</w:t>
            </w:r>
          </w:p>
        </w:tc>
        <w:tc>
          <w:tcPr/>
          <w:p>
            <w:pPr>
              <w:pStyle w:val="Compact"/>
              <w:jc w:val="left"/>
            </w:pPr>
            <w:r>
              <w:t xml:space="preserve">1,250.00</w:t>
            </w:r>
          </w:p>
        </w:tc>
        <w:tc>
          <w:tcPr/>
          <w:p>
            <w:pPr>
              <w:pStyle w:val="Compact"/>
              <w:jc w:val="left"/>
            </w:pPr>
            <w:r>
              <w:t xml:space="preserve">42,500.00</w:t>
            </w:r>
          </w:p>
        </w:tc>
      </w:tr>
      <w:tr>
        <w:tc>
          <w:tcPr/>
          <w:p>
            <w:pPr>
              <w:pStyle w:val="Compact"/>
              <w:jc w:val="left"/>
            </w:pPr>
            <w:r>
              <w:t xml:space="preserve">5</w:t>
            </w:r>
          </w:p>
        </w:tc>
        <w:tc>
          <w:tcPr/>
          <w:p>
            <w:pPr>
              <w:pStyle w:val="Compact"/>
              <w:jc w:val="left"/>
            </w:pPr>
            <w:r>
              <w:t xml:space="preserve">Boundary wall construction (rear, 12 lm)</w:t>
            </w:r>
          </w:p>
        </w:tc>
        <w:tc>
          <w:tcPr/>
          <w:p>
            <w:pPr>
              <w:pStyle w:val="Compact"/>
              <w:jc w:val="left"/>
            </w:pPr>
            <w:r>
              <w:t xml:space="preserve">12 lm</w:t>
            </w:r>
          </w:p>
        </w:tc>
        <w:tc>
          <w:tcPr/>
          <w:p>
            <w:pPr>
              <w:pStyle w:val="Compact"/>
              <w:jc w:val="left"/>
            </w:pPr>
            <w:r>
              <w:t xml:space="preserve">3,800.00</w:t>
            </w:r>
          </w:p>
        </w:tc>
        <w:tc>
          <w:tcPr/>
          <w:p>
            <w:pPr>
              <w:pStyle w:val="Compact"/>
              <w:jc w:val="left"/>
            </w:pPr>
            <w:r>
              <w:t xml:space="preserve">45,600.00</w:t>
            </w:r>
          </w:p>
        </w:tc>
      </w:tr>
      <w:tr>
        <w:tc>
          <w:tcPr/>
          <w:p>
            <w:pPr>
              <w:pStyle w:val="Compact"/>
              <w:jc w:val="left"/>
            </w:pPr>
            <w:r>
              <w:t xml:space="preserve">6</w:t>
            </w:r>
          </w:p>
        </w:tc>
        <w:tc>
          <w:tcPr/>
          <w:p>
            <w:pPr>
              <w:pStyle w:val="Compact"/>
              <w:jc w:val="left"/>
            </w:pPr>
            <w:r>
              <w:t xml:space="preserve">Skilled Mason labour (senior Mason + 4 assistants, 14 weeks)</w:t>
            </w:r>
          </w:p>
        </w:tc>
        <w:tc>
          <w:tcPr/>
          <w:p>
            <w:pPr>
              <w:pStyle w:val="Compact"/>
              <w:jc w:val="left"/>
            </w:pPr>
            <w:r>
              <w:t xml:space="preserve">14 weeks</w:t>
            </w:r>
          </w:p>
        </w:tc>
        <w:tc>
          <w:tcPr/>
          <w:p>
            <w:pPr>
              <w:pStyle w:val="Compact"/>
              <w:jc w:val="left"/>
            </w:pPr>
            <w:r>
              <w:t xml:space="preserve">18,500.00</w:t>
            </w:r>
          </w:p>
        </w:tc>
        <w:tc>
          <w:tcPr/>
          <w:p>
            <w:pPr>
              <w:pStyle w:val="Compact"/>
              <w:jc w:val="left"/>
            </w:pPr>
            <w:r>
              <w:t xml:space="preserve">259,000.00</w:t>
            </w:r>
          </w:p>
        </w:tc>
      </w:tr>
      <w:tr>
        <w:tc>
          <w:tcPr/>
          <w:p>
            <w:pPr>
              <w:pStyle w:val="Compact"/>
              <w:jc w:val="left"/>
            </w:pPr>
            <w:r>
              <w:t xml:space="preserve">7</w:t>
            </w:r>
          </w:p>
        </w:tc>
        <w:tc>
          <w:tcPr/>
          <w:p>
            <w:pPr>
              <w:pStyle w:val="Compact"/>
              <w:jc w:val="left"/>
            </w:pPr>
            <w:r>
              <w:t xml:space="preserve">Site supervision, quality control, and safety compliance</w:t>
            </w:r>
          </w:p>
        </w:tc>
        <w:tc>
          <w:tcPr/>
          <w:p>
            <w:pPr>
              <w:pStyle w:val="Compact"/>
              <w:jc w:val="left"/>
            </w:pPr>
            <w:r>
              <w:t xml:space="preserve">14 weeks</w:t>
            </w:r>
          </w:p>
        </w:tc>
        <w:tc>
          <w:tcPr/>
          <w:p>
            <w:pPr>
              <w:pStyle w:val="Compact"/>
              <w:jc w:val="left"/>
            </w:pPr>
            <w:r>
              <w:t xml:space="preserve">4,200.00</w:t>
            </w:r>
          </w:p>
        </w:tc>
        <w:tc>
          <w:tcPr/>
          <w:p>
            <w:pPr>
              <w:pStyle w:val="Compact"/>
              <w:jc w:val="left"/>
            </w:pPr>
            <w:r>
              <w:t xml:space="preserve">58,800.00</w:t>
            </w:r>
          </w:p>
        </w:tc>
      </w:tr>
      <w:tr>
        <w:tc>
          <w:tcPr/>
          <w:p>
            <w:pPr>
              <w:pStyle w:val="Compact"/>
              <w:jc w:val="left"/>
            </w:pPr>
            <w:r>
              <w:t xml:space="preserve">8</w:t>
            </w:r>
          </w:p>
        </w:tc>
        <w:tc>
          <w:tcPr/>
          <w:p>
            <w:pPr>
              <w:pStyle w:val="Compact"/>
              <w:jc w:val="left"/>
            </w:pPr>
            <w:r>
              <w:t xml:space="preserve">Transportation of materials within Ghana Accra (Osu to East Legon)</w:t>
            </w:r>
          </w:p>
        </w:tc>
        <w:tc>
          <w:tcPr/>
          <w:p>
            <w:pPr>
              <w:pStyle w:val="Compact"/>
              <w:jc w:val="left"/>
            </w:pPr>
            <w:r>
              <w:t xml:space="preserve">Flat rate</w:t>
            </w:r>
          </w:p>
        </w:tc>
        <w:tc>
          <w:tcPr/>
          <w:p>
            <w:pPr>
              <w:pStyle w:val="Compact"/>
              <w:jc w:val="left"/>
            </w:pPr>
            <w:r>
              <w:t xml:space="preserve">1.00</w:t>
            </w:r>
          </w:p>
        </w:tc>
        <w:tc>
          <w:tcPr/>
          <w:p>
            <w:pPr>
              <w:pStyle w:val="Compact"/>
              <w:jc w:val="left"/>
            </w:pPr>
            <w:r>
              <w:t xml:space="preserve">12,000.00</w:t>
            </w:r>
          </w:p>
        </w:tc>
      </w:tr>
      <w:tr>
        <w:tc>
          <w:tcPr>
            <w:gridSpan w:val="4"/>
          </w:tcPr>
          <w:p>
            <w:pPr>
              <w:pStyle w:val="Compact"/>
              <w:jc w:val="right"/>
            </w:pPr>
            <w:r>
              <w:t xml:space="preserve">SUBTOTAL</w:t>
            </w:r>
          </w:p>
        </w:tc>
        <w:tc>
          <w:tcPr/>
          <w:p>
            <w:pPr>
              <w:pStyle w:val="Compact"/>
              <w:jc w:val="left"/>
            </w:pPr>
            <w:r>
              <w:t xml:space="preserve">927,100.00</w:t>
            </w:r>
          </w:p>
        </w:tc>
      </w:tr>
      <w:tr>
        <w:tc>
          <w:tcPr>
            <w:gridSpan w:val="4"/>
          </w:tcPr>
          <w:p>
            <w:pPr>
              <w:pStyle w:val="Compact"/>
              <w:jc w:val="right"/>
            </w:pPr>
            <w:r>
              <w:t xml:space="preserve">VAT (15% — Ghana Revenue Authority)</w:t>
            </w:r>
          </w:p>
        </w:tc>
        <w:tc>
          <w:tcPr/>
          <w:p>
            <w:pPr>
              <w:pStyle w:val="Compact"/>
              <w:jc w:val="left"/>
            </w:pPr>
            <w:r>
              <w:t xml:space="preserve">139,065.00</w:t>
            </w:r>
          </w:p>
        </w:tc>
      </w:tr>
      <w:tr>
        <w:tc>
          <w:tcPr>
            <w:gridSpan w:val="4"/>
          </w:tcPr>
          <w:p>
            <w:pPr>
              <w:pStyle w:val="Compact"/>
              <w:jc w:val="right"/>
            </w:pPr>
            <w:r>
              <w:t xml:space="preserve">GRAND TOTAL (GHS)</w:t>
            </w:r>
          </w:p>
        </w:tc>
        <w:tc>
          <w:tcPr/>
          <w:p>
            <w:pPr>
              <w:pStyle w:val="Compact"/>
              <w:jc w:val="left"/>
            </w:pPr>
            <w:r>
              <w:t xml:space="preserve">1,066,165.00</w:t>
            </w:r>
          </w:p>
        </w:tc>
      </w:tr>
    </w:tbl>
    <w:p>
      <w:pPr>
        <w:pStyle w:val="BodyText"/>
      </w:pPr>
      <w:r>
        <w:t xml:space="preserve">4. Payment Terms</w:t>
      </w:r>
    </w:p>
    <w:p>
      <w:pPr>
        <w:pStyle w:val="BodyText"/>
      </w:pPr>
      <w:r>
        <w:t xml:space="preserve">Payment for this</w:t>
      </w:r>
      <w:r>
        <w:t xml:space="preserve"> </w:t>
      </w:r>
      <w:r>
        <w:t xml:space="preserve">Quotation Estimate</w:t>
      </w:r>
      <w:r>
        <w:t xml:space="preserve"> </w:t>
      </w:r>
      <w:r>
        <w:t xml:space="preserve">shall be structured as follows: a mobilisation advance of 30% upon signing of the contract; 40% upon completion of ground-floor masonry; 20% upon completion of first-floor masonry; and the remaining 10% upon final handover and client sign-off. All payments shall be made in Ghana Cedis (GHS) via bank transfer to the account of Accra Mason &amp; Build Ltd. at Ecobank, Accra Branch.</w:t>
      </w:r>
    </w:p>
    <w:p>
      <w:pPr>
        <w:pStyle w:val="BodyText"/>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days from the date of issue. Beyond this period, the</w:t>
      </w:r>
      <w:r>
        <w:t xml:space="preserve"> </w:t>
      </w:r>
      <w:r>
        <w:t xml:space="preserve">Mason</w:t>
      </w:r>
      <w:r>
        <w:t xml:space="preserve"> </w:t>
      </w:r>
      <w:r>
        <w:t xml:space="preserve">team and material pricing may be subject to adjustment.</w:t>
      </w:r>
    </w:p>
    <w:p>
      <w:pPr>
        <w:numPr>
          <w:ilvl w:val="0"/>
          <w:numId w:val="1002"/>
        </w:numPr>
        <w:pStyle w:val="Compact"/>
      </w:pPr>
      <w:r>
        <w:t xml:space="preserve">All masonry work shall be carried out in strict accordance with the approved architectural and structural drawings for the</w:t>
      </w:r>
      <w:r>
        <w:t xml:space="preserve"> </w:t>
      </w:r>
      <w:r>
        <w:t xml:space="preserve">Ghana Accra</w:t>
      </w:r>
      <w:r>
        <w:t xml:space="preserve"> </w:t>
      </w:r>
      <w:r>
        <w:t xml:space="preserve">site.</w:t>
      </w:r>
    </w:p>
    <w:p>
      <w:pPr>
        <w:numPr>
          <w:ilvl w:val="0"/>
          <w:numId w:val="1002"/>
        </w:numPr>
        <w:pStyle w:val="Compact"/>
      </w:pPr>
      <w:r>
        <w:t xml:space="preserve">The client is responsible for obtaining all necessary building permits from the Accra Metropolitan Assembly and the Ghana Building and Planning Department prior to commencement.</w:t>
      </w:r>
    </w:p>
    <w:p>
      <w:pPr>
        <w:numPr>
          <w:ilvl w:val="0"/>
          <w:numId w:val="1002"/>
        </w:numPr>
        <w:pStyle w:val="Compact"/>
      </w:pPr>
      <w:r>
        <w:t xml:space="preserve">Weather-related delays (exceeding 48 consecutive hours of heavy rainfall) shall be excluded from the project timeline and communicated in writing by the supervising</w:t>
      </w:r>
      <w:r>
        <w:t xml:space="preserve"> </w:t>
      </w:r>
      <w:r>
        <w:t xml:space="preserve">Mason</w:t>
      </w:r>
      <w:r>
        <w:t xml:space="preserve">.</w:t>
      </w:r>
    </w:p>
    <w:p>
      <w:pPr>
        <w:numPr>
          <w:ilvl w:val="0"/>
          <w:numId w:val="1002"/>
        </w:numPr>
        <w:pStyle w:val="Compact"/>
      </w:pPr>
      <w:r>
        <w:t xml:space="preserve">A twelve-month workmanship warranty is provided on all masonry works. This warranty covers structural defects in blockwork, mortar application, and lintel installation but does not cover damage caused by subsequent alterations, natural disasters, or third-party interference.</w:t>
      </w:r>
    </w:p>
    <w:p>
      <w:pPr>
        <w:numPr>
          <w:ilvl w:val="0"/>
          <w:numId w:val="1002"/>
        </w:numPr>
        <w:pStyle w:val="Compact"/>
      </w:pPr>
      <w:r>
        <w:t xml:space="preserve">The</w:t>
      </w:r>
      <w:r>
        <w:t xml:space="preserve"> </w:t>
      </w:r>
      <w:r>
        <w:t xml:space="preserve">Mason</w:t>
      </w:r>
      <w:r>
        <w:t xml:space="preserve"> </w:t>
      </w:r>
      <w:r>
        <w:t xml:space="preserve">crew shall adhere to all occupational health and safety regulations as stipulated by the Ghana Labour Act, 2003 (Act 651).</w:t>
      </w:r>
    </w:p>
    <w:p>
      <w:pPr>
        <w:numPr>
          <w:ilvl w:val="0"/>
          <w:numId w:val="1002"/>
        </w:numPr>
        <w:pStyle w:val="Compact"/>
      </w:pPr>
      <w:r>
        <w:t xml:space="preserve">Any variation or change order to the scope of work outlined in this</w:t>
      </w:r>
      <w:r>
        <w:t xml:space="preserve"> </w:t>
      </w:r>
      <w:r>
        <w:t xml:space="preserve">Quotation Estimate</w:t>
      </w:r>
      <w:r>
        <w:t xml:space="preserve"> </w:t>
      </w:r>
      <w:r>
        <w:t xml:space="preserve">must be agreed upon in writing by both parties before additional work commences.</w:t>
      </w:r>
    </w:p>
    <w:p>
      <w:pPr>
        <w:pStyle w:val="FirstParagraph"/>
      </w:pPr>
      <w:r>
        <w:t xml:space="preserve">6. Project Timeline</w:t>
      </w:r>
    </w:p>
    <w:p>
      <w:pPr>
        <w:pStyle w:val="BodyText"/>
      </w:pPr>
      <w:r>
        <w:t xml:space="preserve">The estimated duration for completion of all masonry works described in this</w:t>
      </w:r>
      <w:r>
        <w:t xml:space="preserve"> </w:t>
      </w:r>
      <w:r>
        <w:t xml:space="preserve">Quotation Estimate</w:t>
      </w:r>
      <w:r>
        <w:t xml:space="preserve"> </w:t>
      </w:r>
      <w:r>
        <w:t xml:space="preserve">is fourteen (14) working weeks from the date of site mobilisation. The</w:t>
      </w:r>
      <w:r>
        <w:t xml:space="preserve"> </w:t>
      </w:r>
      <w:r>
        <w:t xml:space="preserve">Mason</w:t>
      </w:r>
      <w:r>
        <w:t xml:space="preserve"> </w:t>
      </w:r>
      <w:r>
        <w:t xml:space="preserve">team will operate Monday through Saturday, 7:00 AM to 5:00 PM, in compliance with local working-hour regulations in</w:t>
      </w:r>
      <w:r>
        <w:t xml:space="preserve"> </w:t>
      </w:r>
      <w:r>
        <w:t xml:space="preserve">Ghana Accra</w:t>
      </w:r>
      <w:r>
        <w:t xml:space="preserve">. A detailed weekly progress schedule will be provided to the client upon contract execution.</w:t>
      </w:r>
    </w:p>
    <w:p>
      <w:pPr>
        <w:pStyle w:val="BodyText"/>
      </w:pPr>
      <w:r>
        <w:t xml:space="preserve">7.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w:t>
      </w:r>
      <w:r>
        <w:t xml:space="preserve"> </w:t>
      </w:r>
      <w:r>
        <w:t xml:space="preserve">Mason</w:t>
      </w:r>
      <w:r>
        <w:t xml:space="preserve"> </w:t>
      </w:r>
      <w:r>
        <w:t xml:space="preserve">services to be rendered at the specified location in</w:t>
      </w:r>
      <w:r>
        <w:t xml:space="preserve"> </w:t>
      </w:r>
      <w:r>
        <w:t xml:space="preserve">Ghana Accra</w:t>
      </w:r>
      <w:r>
        <w:t xml:space="preserve">.</w:t>
      </w:r>
    </w:p>
    <w:p>
      <w:pPr>
        <w:pStyle w:val="BodyText"/>
      </w:pPr>
      <w:r>
        <w:rPr>
          <w:bCs/>
          <w:b/>
        </w:rPr>
        <w:t xml:space="preserve">For Accra Mason &amp; Build Ltd.</w:t>
      </w:r>
      <w:r>
        <w:br/>
      </w:r>
      <w:r>
        <w:br/>
      </w:r>
      <w:r>
        <w:t xml:space="preserve">______________________________</w:t>
      </w:r>
      <w:r>
        <w:br/>
      </w:r>
      <w:r>
        <w:t xml:space="preserve">Name: Nana Yaw Ofori</w:t>
      </w:r>
      <w:r>
        <w:br/>
      </w:r>
      <w:r>
        <w:t xml:space="preserve">Title: Lead Mason / Project Director</w:t>
      </w:r>
      <w:r>
        <w:br/>
      </w:r>
      <w:r>
        <w:t xml:space="preserve">Date: _______________</w:t>
      </w:r>
    </w:p>
    <w:p>
      <w:pPr>
        <w:pStyle w:val="BodyText"/>
      </w:pPr>
      <w:r>
        <w:rPr>
          <w:bCs/>
          <w:b/>
        </w:rPr>
        <w:t xml:space="preserve">For the Client</w:t>
      </w:r>
      <w:r>
        <w:br/>
      </w:r>
      <w:r>
        <w:br/>
      </w:r>
      <w:r>
        <w:t xml:space="preserve">______________________________</w:t>
      </w:r>
      <w:r>
        <w:br/>
      </w:r>
      <w:r>
        <w:t xml:space="preserve">Name: Kwame Asante</w:t>
      </w:r>
      <w:r>
        <w:br/>
      </w:r>
      <w:r>
        <w:t xml:space="preserve">Title: Property Owner</w:t>
      </w:r>
      <w:r>
        <w:br/>
      </w:r>
      <w:r>
        <w:t xml:space="preserve">Date: _______________</w:t>
      </w:r>
    </w:p>
    <w:p>
      <w:pPr>
        <w:pStyle w:val="BodyText"/>
      </w:pPr>
      <w:r>
        <w:t xml:space="preserve">This Quotation Estimate document was prepared exclusively for the client named above and is not transferable. All prices are quoted in Ghana Cedis (GHS) and are inclusive of all applicable taxes as stated. Accra Mason &amp; Build Ltd. is a registered construction firm operating in Ghana Accra, Registration No. CS-2019-044782. For queries regarding this Quotation Estimate, please contact our office at +233 (0) 30 274 5512 or visit our premises at 14 Independence Avenue, Osu, Accra, Ghana.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Mason Services - Ghana Accra</dc:title>
  <dc:creator/>
  <dc:language>en</dc:language>
  <cp:keywords/>
  <dcterms:created xsi:type="dcterms:W3CDTF">2026-10-10T02:33:36Z</dcterms:created>
  <dcterms:modified xsi:type="dcterms:W3CDTF">2026-10-10T02:33:36Z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