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rPr>
          <w:bCs/>
          <w:b/>
        </w:rPr>
        <w:t xml:space="preserve">Bangalore Mason &amp; Construction Services Pvt. Ltd.</w:t>
      </w:r>
    </w:p>
    <w:p>
      <w:pPr>
        <w:pStyle w:val="BodyText"/>
      </w:pPr>
      <w:r>
        <w:t xml:space="preserve">Plot No. 47, Industrial Area, Peenya, India Bangalore – 560058</w:t>
      </w:r>
    </w:p>
    <w:p>
      <w:pPr>
        <w:pStyle w:val="BodyText"/>
      </w:pPr>
      <w:r>
        <w:t xml:space="preserve">Phone: +91-80-4123-5678 | Email: estimates@bangaloremason.in</w:t>
      </w:r>
    </w:p>
    <w:p>
      <w:pPr>
        <w:pStyle w:val="BodyText"/>
      </w:pPr>
      <w:r>
        <w:t xml:space="preserve">GSTIN: 29ABCDE1234F1Z5 | CIN: U45200KA2015PTC087654</w:t>
      </w:r>
    </w:p>
    <w:bookmarkEnd w:id="20"/>
    <w:p>
      <w:pPr>
        <w:pStyle w:val="BodyText"/>
      </w:pPr>
      <w:r>
        <w:rPr>
          <w:bCs/>
          <w:b/>
        </w:rPr>
        <w:t xml:space="preserve">Quotation No.:</w:t>
      </w:r>
      <w:r>
        <w:t xml:space="preserve"> </w:t>
      </w:r>
      <w:r>
        <w:t xml:space="preserve">QTE-BLR-2025-0472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p>
    <w:p>
      <w:pPr>
        <w:pStyle w:val="BodyText"/>
      </w:pPr>
      <w:r>
        <w:t xml:space="preserve">Mr. Rajesh Kumar</w:t>
      </w:r>
    </w:p>
    <w:p>
      <w:pPr>
        <w:pStyle w:val="BodyText"/>
      </w:pPr>
      <w:r>
        <w:t xml:space="preserve">Residential Project, Whitefield</w:t>
      </w:r>
    </w:p>
    <w:p>
      <w:pPr>
        <w:pStyle w:val="BodyText"/>
      </w:pPr>
      <w:r>
        <w:t xml:space="preserve">India Bangalore – 560066</w:t>
      </w:r>
    </w:p>
    <w:bookmarkStart w:id="21" w:name="introduction-scope-of-work"/>
    <w:p>
      <w:pPr>
        <w:pStyle w:val="Heading2"/>
      </w:pPr>
      <w:r>
        <w:t xml:space="preserve">1. Introduction &amp; Scope of Work</w:t>
      </w:r>
    </w:p>
    <w:p>
      <w:pPr>
        <w:pStyle w:val="FirstParagraph"/>
      </w:pPr>
      <w:r>
        <w:t xml:space="preserve">This</w:t>
      </w:r>
      <w:r>
        <w:t xml:space="preserve"> </w:t>
      </w:r>
      <w:r>
        <w:t xml:space="preserve">Quotation Estimate</w:t>
      </w:r>
      <w:r>
        <w:t xml:space="preserve"> </w:t>
      </w:r>
      <w:r>
        <w:t xml:space="preserve">is issued by Bangalore Mason &amp; Construction Services Pvt. Ltd., a registered masonry and construction firm headquartered in India Bangalore, to provide a comprehensive cost breakdown for all masonry works required for the residential project at Whitefield, India Bangalore. Our team of skilled</w:t>
      </w:r>
      <w:r>
        <w:t xml:space="preserve"> </w:t>
      </w:r>
      <w:r>
        <w:t xml:space="preserve">Mason</w:t>
      </w:r>
      <w:r>
        <w:t xml:space="preserve"> </w:t>
      </w:r>
      <w:r>
        <w:t xml:space="preserve">professionals, with an average of 12 years of experience in structural and decorative masonry, will execute all tasks in strict compliance with the Indian Standard IS 2193 (Code of Practice for Masonry Construction) and the local building by-laws of the Bangalore Development Authority (BDA).</w:t>
      </w:r>
    </w:p>
    <w:p>
      <w:pPr>
        <w:pStyle w:val="BodyText"/>
      </w:pPr>
      <w:r>
        <w:t xml:space="preserve">The scope encompasses foundation masonry, load-bearing wall construction, partition walls, plastering, tile laying, and finishing works. All materials will be sourced from verified suppliers within the India Bangalore metropolitan region to ensure quality consistency and timely delivery to the site.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Foundation Masonry – 230mm thick brick masonry in 1:4 cement mortar (including excavation support)</w:t>
            </w:r>
          </w:p>
        </w:tc>
        <w:tc>
          <w:tcPr/>
          <w:p>
            <w:pPr>
              <w:pStyle w:val="Compact"/>
              <w:jc w:val="left"/>
            </w:pPr>
            <w:r>
              <w:t xml:space="preserve">Cum</w:t>
            </w:r>
          </w:p>
        </w:tc>
        <w:tc>
          <w:tcPr/>
          <w:p>
            <w:pPr>
              <w:pStyle w:val="Compact"/>
              <w:jc w:val="left"/>
            </w:pPr>
            <w:r>
              <w:t xml:space="preserve">185</w:t>
            </w:r>
          </w:p>
        </w:tc>
        <w:tc>
          <w:tcPr/>
          <w:p>
            <w:pPr>
              <w:pStyle w:val="Compact"/>
              <w:jc w:val="left"/>
            </w:pPr>
            <w:r>
              <w:t xml:space="preserve">2,850</w:t>
            </w:r>
          </w:p>
        </w:tc>
        <w:tc>
          <w:tcPr/>
          <w:p>
            <w:pPr>
              <w:pStyle w:val="Compact"/>
              <w:jc w:val="left"/>
            </w:pPr>
            <w:r>
              <w:t xml:space="preserve">527,250</w:t>
            </w:r>
          </w:p>
        </w:tc>
      </w:tr>
      <w:tr>
        <w:tc>
          <w:tcPr/>
          <w:p>
            <w:pPr>
              <w:pStyle w:val="Compact"/>
              <w:jc w:val="left"/>
            </w:pPr>
            <w:r>
              <w:t xml:space="preserve">2</w:t>
            </w:r>
          </w:p>
        </w:tc>
        <w:tc>
          <w:tcPr/>
          <w:p>
            <w:pPr>
              <w:pStyle w:val="Compact"/>
              <w:jc w:val="left"/>
            </w:pPr>
            <w:r>
              <w:t xml:space="preserve">Load-Bearing Wall Masonry – 230mm solid clay brick in 1:6 cement mortar, ground floor to roof</w:t>
            </w:r>
          </w:p>
        </w:tc>
        <w:tc>
          <w:tcPr/>
          <w:p>
            <w:pPr>
              <w:pStyle w:val="Compact"/>
              <w:jc w:val="left"/>
            </w:pPr>
            <w:r>
              <w:t xml:space="preserve">Sq. Mtr</w:t>
            </w:r>
          </w:p>
        </w:tc>
        <w:tc>
          <w:tcPr/>
          <w:p>
            <w:pPr>
              <w:pStyle w:val="Compact"/>
              <w:jc w:val="left"/>
            </w:pPr>
            <w:r>
              <w:t xml:space="preserve">1,240</w:t>
            </w:r>
          </w:p>
        </w:tc>
        <w:tc>
          <w:tcPr/>
          <w:p>
            <w:pPr>
              <w:pStyle w:val="Compact"/>
              <w:jc w:val="left"/>
            </w:pPr>
            <w:r>
              <w:t xml:space="preserve">680</w:t>
            </w:r>
          </w:p>
        </w:tc>
        <w:tc>
          <w:tcPr/>
          <w:p>
            <w:pPr>
              <w:pStyle w:val="Compact"/>
              <w:jc w:val="left"/>
            </w:pPr>
            <w:r>
              <w:t xml:space="preserve">843,200</w:t>
            </w:r>
          </w:p>
        </w:tc>
      </w:tr>
      <w:tr>
        <w:tc>
          <w:tcPr/>
          <w:p>
            <w:pPr>
              <w:pStyle w:val="Compact"/>
              <w:jc w:val="left"/>
            </w:pPr>
            <w:r>
              <w:t xml:space="preserve">3</w:t>
            </w:r>
          </w:p>
        </w:tc>
        <w:tc>
          <w:tcPr/>
          <w:p>
            <w:pPr>
              <w:pStyle w:val="Compact"/>
              <w:jc w:val="left"/>
            </w:pPr>
            <w:r>
              <w:t xml:space="preserve">Partition Wall Masonry – 115mm AAC block in 1:4 cement mortar, internal divisions</w:t>
            </w:r>
          </w:p>
        </w:tc>
        <w:tc>
          <w:tcPr/>
          <w:p>
            <w:pPr>
              <w:pStyle w:val="Compact"/>
              <w:jc w:val="left"/>
            </w:pPr>
            <w:r>
              <w:t xml:space="preserve">Sq. Mtr</w:t>
            </w:r>
          </w:p>
        </w:tc>
        <w:tc>
          <w:tcPr/>
          <w:p>
            <w:pPr>
              <w:pStyle w:val="Compact"/>
              <w:jc w:val="left"/>
            </w:pPr>
            <w:r>
              <w:t xml:space="preserve">620</w:t>
            </w:r>
          </w:p>
        </w:tc>
        <w:tc>
          <w:tcPr/>
          <w:p>
            <w:pPr>
              <w:pStyle w:val="Compact"/>
              <w:jc w:val="left"/>
            </w:pPr>
            <w:r>
              <w:t xml:space="preserve">520</w:t>
            </w:r>
          </w:p>
        </w:tc>
        <w:tc>
          <w:tcPr/>
          <w:p>
            <w:pPr>
              <w:pStyle w:val="Compact"/>
              <w:jc w:val="left"/>
            </w:pPr>
            <w:r>
              <w:t xml:space="preserve">322,400</w:t>
            </w:r>
          </w:p>
        </w:tc>
      </w:tr>
      <w:tr>
        <w:tc>
          <w:tcPr/>
          <w:p>
            <w:pPr>
              <w:pStyle w:val="Compact"/>
              <w:jc w:val="left"/>
            </w:pPr>
            <w:r>
              <w:t xml:space="preserve">4</w:t>
            </w:r>
          </w:p>
        </w:tc>
        <w:tc>
          <w:tcPr/>
          <w:p>
            <w:pPr>
              <w:pStyle w:val="Compact"/>
              <w:jc w:val="left"/>
            </w:pPr>
            <w:r>
              <w:t xml:space="preserve">Internal Plastering – 12mm thick 1:4 cement mortar, both sides of all walls</w:t>
            </w:r>
          </w:p>
        </w:tc>
        <w:tc>
          <w:tcPr/>
          <w:p>
            <w:pPr>
              <w:pStyle w:val="Compact"/>
              <w:jc w:val="left"/>
            </w:pPr>
            <w:r>
              <w:t xml:space="preserve">Sq. Mtr</w:t>
            </w:r>
          </w:p>
        </w:tc>
        <w:tc>
          <w:tcPr/>
          <w:p>
            <w:pPr>
              <w:pStyle w:val="Compact"/>
              <w:jc w:val="left"/>
            </w:pPr>
            <w:r>
              <w:t xml:space="preserve">3,480</w:t>
            </w:r>
          </w:p>
        </w:tc>
        <w:tc>
          <w:tcPr/>
          <w:p>
            <w:pPr>
              <w:pStyle w:val="Compact"/>
              <w:jc w:val="left"/>
            </w:pPr>
            <w:r>
              <w:t xml:space="preserve">145</w:t>
            </w:r>
          </w:p>
        </w:tc>
        <w:tc>
          <w:tcPr/>
          <w:p>
            <w:pPr>
              <w:pStyle w:val="Compact"/>
              <w:jc w:val="left"/>
            </w:pPr>
            <w:r>
              <w:t xml:space="preserve">504,600</w:t>
            </w:r>
          </w:p>
        </w:tc>
      </w:tr>
      <w:tr>
        <w:tc>
          <w:tcPr/>
          <w:p>
            <w:pPr>
              <w:pStyle w:val="Compact"/>
              <w:jc w:val="left"/>
            </w:pPr>
            <w:r>
              <w:t xml:space="preserve">5</w:t>
            </w:r>
          </w:p>
        </w:tc>
        <w:tc>
          <w:tcPr/>
          <w:p>
            <w:pPr>
              <w:pStyle w:val="Compact"/>
              <w:jc w:val="left"/>
            </w:pPr>
            <w:r>
              <w:t xml:space="preserve">External Plastering – 15mm thick 1:4 cement mortar with weather-proofing compound</w:t>
            </w:r>
          </w:p>
        </w:tc>
        <w:tc>
          <w:tcPr/>
          <w:p>
            <w:pPr>
              <w:pStyle w:val="Compact"/>
              <w:jc w:val="left"/>
            </w:pPr>
            <w:r>
              <w:t xml:space="preserve">Sq. Mtr</w:t>
            </w:r>
          </w:p>
        </w:tc>
        <w:tc>
          <w:tcPr/>
          <w:p>
            <w:pPr>
              <w:pStyle w:val="Compact"/>
              <w:jc w:val="left"/>
            </w:pPr>
            <w:r>
              <w:t xml:space="preserve">1,150</w:t>
            </w:r>
          </w:p>
        </w:tc>
        <w:tc>
          <w:tcPr/>
          <w:p>
            <w:pPr>
              <w:pStyle w:val="Compact"/>
              <w:jc w:val="left"/>
            </w:pPr>
            <w:r>
              <w:t xml:space="preserve">175</w:t>
            </w:r>
          </w:p>
        </w:tc>
        <w:tc>
          <w:tcPr/>
          <w:p>
            <w:pPr>
              <w:pStyle w:val="Compact"/>
              <w:jc w:val="left"/>
            </w:pPr>
            <w:r>
              <w:t xml:space="preserve">201,250</w:t>
            </w:r>
          </w:p>
        </w:tc>
      </w:tr>
      <w:tr>
        <w:tc>
          <w:tcPr/>
          <w:p>
            <w:pPr>
              <w:pStyle w:val="Compact"/>
              <w:jc w:val="left"/>
            </w:pPr>
            <w:r>
              <w:t xml:space="preserve">6</w:t>
            </w:r>
          </w:p>
        </w:tc>
        <w:tc>
          <w:tcPr/>
          <w:p>
            <w:pPr>
              <w:pStyle w:val="Compact"/>
              <w:jc w:val="left"/>
            </w:pPr>
            <w:r>
              <w:t xml:space="preserve">Ceramic Tile Laying – 600x600mm vitrified tiles, floor and wall (including adhesive and grout)</w:t>
            </w:r>
          </w:p>
        </w:tc>
        <w:tc>
          <w:tcPr/>
          <w:p>
            <w:pPr>
              <w:pStyle w:val="Compact"/>
              <w:jc w:val="left"/>
            </w:pPr>
            <w:r>
              <w:t xml:space="preserve">Sq. Mtr</w:t>
            </w:r>
          </w:p>
        </w:tc>
        <w:tc>
          <w:tcPr/>
          <w:p>
            <w:pPr>
              <w:pStyle w:val="Compact"/>
              <w:jc w:val="left"/>
            </w:pPr>
            <w:r>
              <w:t xml:space="preserve">890</w:t>
            </w:r>
          </w:p>
        </w:tc>
        <w:tc>
          <w:tcPr/>
          <w:p>
            <w:pPr>
              <w:pStyle w:val="Compact"/>
              <w:jc w:val="left"/>
            </w:pPr>
            <w:r>
              <w:t xml:space="preserve">420</w:t>
            </w:r>
          </w:p>
        </w:tc>
        <w:tc>
          <w:tcPr/>
          <w:p>
            <w:pPr>
              <w:pStyle w:val="Compact"/>
              <w:jc w:val="left"/>
            </w:pPr>
            <w:r>
              <w:t xml:space="preserve">373,800</w:t>
            </w:r>
          </w:p>
        </w:tc>
      </w:tr>
      <w:tr>
        <w:tc>
          <w:tcPr/>
          <w:p>
            <w:pPr>
              <w:pStyle w:val="Compact"/>
              <w:jc w:val="left"/>
            </w:pPr>
            <w:r>
              <w:t xml:space="preserve">7</w:t>
            </w:r>
          </w:p>
        </w:tc>
        <w:tc>
          <w:tcPr/>
          <w:p>
            <w:pPr>
              <w:pStyle w:val="Compact"/>
              <w:jc w:val="left"/>
            </w:pPr>
            <w:r>
              <w:t xml:space="preserve">Staircase Masonry – 230mm brick masonry with concrete nosing, 3 flights</w:t>
            </w:r>
          </w:p>
        </w:tc>
        <w:tc>
          <w:tcPr/>
          <w:p>
            <w:pPr>
              <w:pStyle w:val="Compact"/>
              <w:jc w:val="left"/>
            </w:pPr>
            <w:r>
              <w:t xml:space="preserve">Flight</w:t>
            </w:r>
          </w:p>
        </w:tc>
        <w:tc>
          <w:tcPr/>
          <w:p>
            <w:pPr>
              <w:pStyle w:val="Compact"/>
              <w:jc w:val="left"/>
            </w:pPr>
            <w:r>
              <w:t xml:space="preserve">3</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8</w:t>
            </w:r>
          </w:p>
        </w:tc>
        <w:tc>
          <w:tcPr/>
          <w:p>
            <w:pPr>
              <w:pStyle w:val="Compact"/>
              <w:jc w:val="left"/>
            </w:pPr>
            <w:r>
              <w:t xml:space="preserve">Chimney &amp; Flue Masonry – Fire-brick masonry in 1:2 refractory mortar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Site Labour &amp; Mason Supervision – Skilled mason, helpers, and site engineer (monthly retainer,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Material Supply – Cement (OPC 53), bricks, sand, aggregate, AAC blocks, tiles (as per BOQ)</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11</w:t>
            </w:r>
          </w:p>
        </w:tc>
        <w:tc>
          <w:tcPr/>
          <w:p>
            <w:pPr>
              <w:pStyle w:val="Compact"/>
              <w:jc w:val="left"/>
            </w:pPr>
            <w:r>
              <w:t xml:space="preserve">Scaffolding, Formwork &amp; Temporary Works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12</w:t>
            </w:r>
          </w:p>
        </w:tc>
        <w:tc>
          <w:tcPr/>
          <w:p>
            <w:pPr>
              <w:pStyle w:val="Compact"/>
              <w:jc w:val="left"/>
            </w:pPr>
            <w:r>
              <w:t xml:space="preserve">Waste Disposal &amp; Site Housekeeping (as per BBMP regulations, India Bangalore)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left"/>
            </w:pPr>
            <w:r>
              <w:t xml:space="preserve">Sub-Total (INR)</w:t>
            </w:r>
          </w:p>
        </w:tc>
        <w:tc>
          <w:tcPr/>
          <w:p>
            <w:pPr>
              <w:pStyle w:val="Compact"/>
              <w:jc w:val="left"/>
            </w:pPr>
            <w:r>
              <w:t xml:space="preserve">30,43,000</w:t>
            </w:r>
          </w:p>
        </w:tc>
      </w:tr>
      <w:tr>
        <w:tc>
          <w:tcPr>
            <w:gridSpan w:val="5"/>
          </w:tcPr>
          <w:p>
            <w:pPr>
              <w:pStyle w:val="Compact"/>
              <w:jc w:val="left"/>
            </w:pPr>
            <w:r>
              <w:t xml:space="preserve">GST @ 18% (as applicable in India Bangalore)</w:t>
            </w:r>
          </w:p>
        </w:tc>
        <w:tc>
          <w:tcPr/>
          <w:p>
            <w:pPr>
              <w:pStyle w:val="Compact"/>
              <w:jc w:val="left"/>
            </w:pPr>
            <w:r>
              <w:t xml:space="preserve">5,47,740</w:t>
            </w:r>
          </w:p>
        </w:tc>
      </w:tr>
      <w:tr>
        <w:tc>
          <w:tcPr>
            <w:gridSpan w:val="5"/>
          </w:tcPr>
          <w:p>
            <w:pPr>
              <w:pStyle w:val="Compact"/>
              <w:jc w:val="left"/>
            </w:pPr>
            <w:r>
              <w:t xml:space="preserve">Grand Total (INR)</w:t>
            </w:r>
          </w:p>
        </w:tc>
        <w:tc>
          <w:tcPr/>
          <w:p>
            <w:pPr>
              <w:pStyle w:val="Compact"/>
              <w:jc w:val="left"/>
            </w:pPr>
            <w:r>
              <w:t xml:space="preserve">35,90,740</w:t>
            </w:r>
          </w:p>
        </w:tc>
      </w:tr>
    </w:tbl>
    <w:bookmarkEnd w:id="22"/>
    <w:bookmarkStart w:id="23" w:name="payment-terms"/>
    <w:p>
      <w:pPr>
        <w:pStyle w:val="Heading2"/>
      </w:pPr>
      <w:r>
        <w:t xml:space="preserve">3. Payment Terms</w:t>
      </w:r>
    </w:p>
    <w:p>
      <w:pPr>
        <w:pStyle w:val="FirstParagraph"/>
      </w:pPr>
      <w:r>
        <w:t xml:space="preserve">Payment shall be made in the following milestones as per this</w:t>
      </w:r>
      <w:r>
        <w:t xml:space="preserve"> </w:t>
      </w:r>
      <w:r>
        <w:t xml:space="preserve">Quotation Estimate</w:t>
      </w:r>
      <w:r>
        <w:t xml:space="preserve">:</w:t>
      </w:r>
    </w:p>
    <w:p>
      <w:pPr>
        <w:numPr>
          <w:ilvl w:val="0"/>
          <w:numId w:val="1001"/>
        </w:numPr>
        <w:pStyle w:val="Compact"/>
      </w:pPr>
      <w:r>
        <w:rPr>
          <w:bCs/>
          <w:b/>
        </w:rPr>
        <w:t xml:space="preserve">Advance (30%):</w:t>
      </w:r>
      <w:r>
        <w:t xml:space="preserve"> </w:t>
      </w:r>
      <w:r>
        <w:t xml:space="preserve">INR 10,77,222 – upon signing of the work order and mobilization of the mason team to the India Bangalore site.</w:t>
      </w:r>
    </w:p>
    <w:p>
      <w:pPr>
        <w:numPr>
          <w:ilvl w:val="0"/>
          <w:numId w:val="1001"/>
        </w:numPr>
        <w:pStyle w:val="Compact"/>
      </w:pPr>
      <w:r>
        <w:rPr>
          <w:bCs/>
          <w:b/>
        </w:rPr>
        <w:t xml:space="preserve">Progress Payment 1 (25%):</w:t>
      </w:r>
      <w:r>
        <w:t xml:space="preserve"> </w:t>
      </w:r>
      <w:r>
        <w:t xml:space="preserve">INR 8,97,685 – upon completion of foundation and ground-floor masonry.</w:t>
      </w:r>
    </w:p>
    <w:p>
      <w:pPr>
        <w:numPr>
          <w:ilvl w:val="0"/>
          <w:numId w:val="1001"/>
        </w:numPr>
        <w:pStyle w:val="Compact"/>
      </w:pPr>
      <w:r>
        <w:rPr>
          <w:bCs/>
          <w:b/>
        </w:rPr>
        <w:t xml:space="preserve">Progress Payment 2 (25%):</w:t>
      </w:r>
      <w:r>
        <w:t xml:space="preserve"> </w:t>
      </w:r>
      <w:r>
        <w:t xml:space="preserve">INR 8,97,685 – upon completion of upper-floor masonry and plastering.</w:t>
      </w:r>
    </w:p>
    <w:p>
      <w:pPr>
        <w:numPr>
          <w:ilvl w:val="0"/>
          <w:numId w:val="1001"/>
        </w:numPr>
        <w:pStyle w:val="Compact"/>
      </w:pPr>
      <w:r>
        <w:rPr>
          <w:bCs/>
          <w:b/>
        </w:rPr>
        <w:t xml:space="preserve">Final Payment (20%):</w:t>
      </w:r>
      <w:r>
        <w:t xml:space="preserve"> </w:t>
      </w:r>
      <w:r>
        <w:t xml:space="preserve">INR 7,18,148 – upon final inspection, snag clearance, and handover.</w:t>
      </w:r>
    </w:p>
    <w:bookmarkEnd w:id="23"/>
    <w:bookmarkStart w:id="24" w:name="terms-conditions"/>
    <w:p>
      <w:pPr>
        <w:pStyle w:val="Heading2"/>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rates may be revised based on prevailing material costs in the India Bangalore market.</w:t>
      </w:r>
    </w:p>
    <w:p>
      <w:pPr>
        <w:numPr>
          <w:ilvl w:val="0"/>
          <w:numId w:val="1002"/>
        </w:numPr>
        <w:pStyle w:val="Compact"/>
      </w:pPr>
      <w:r>
        <w:t xml:space="preserve">All masonry work shall be executed by qualified and experienced</w:t>
      </w:r>
      <w:r>
        <w:t xml:space="preserve"> </w:t>
      </w:r>
      <w:r>
        <w:t xml:space="preserve">Mason</w:t>
      </w:r>
      <w:r>
        <w:t xml:space="preserve"> </w:t>
      </w:r>
      <w:r>
        <w:t xml:space="preserve">personnel under the direct supervision of a site engineer holding a valid license from the Karnataka State Council for Architecture and Construction.</w:t>
      </w:r>
    </w:p>
    <w:p>
      <w:pPr>
        <w:numPr>
          <w:ilvl w:val="0"/>
          <w:numId w:val="1002"/>
        </w:numPr>
        <w:pStyle w:val="Compact"/>
      </w:pPr>
      <w:r>
        <w:t xml:space="preserve">The contractor shall bear all costs related to safety equipment, PPE for mason workers, and compliance with the Factories Act and Karnataka Shops &amp; Establishments Act applicable in India Bangalore.</w:t>
      </w:r>
    </w:p>
    <w:p>
      <w:pPr>
        <w:numPr>
          <w:ilvl w:val="0"/>
          <w:numId w:val="1002"/>
        </w:numPr>
        <w:pStyle w:val="Compact"/>
      </w:pPr>
      <w:r>
        <w:t xml:space="preserve">Any variation in scope exceeding 10% of the original estimate shall require a revised Quotation Estimate in writing, signed by both parties.</w:t>
      </w:r>
    </w:p>
    <w:p>
      <w:pPr>
        <w:numPr>
          <w:ilvl w:val="0"/>
          <w:numId w:val="1002"/>
        </w:numPr>
        <w:pStyle w:val="Compact"/>
      </w:pPr>
      <w:r>
        <w:t xml:space="preserve">Defect Liability Period: 12 months from the date of final handover. Any masonry defects (cracks, spalling, efflorescence) arising within this period shall be rectified at no additional cost.</w:t>
      </w:r>
    </w:p>
    <w:p>
      <w:pPr>
        <w:numPr>
          <w:ilvl w:val="0"/>
          <w:numId w:val="1002"/>
        </w:numPr>
        <w:pStyle w:val="Compact"/>
      </w:pPr>
      <w:r>
        <w:t xml:space="preserve">Disputes arising from this Quotation Estimate shall be resolved through arbitration in India Bangalore in accordance with the Arbitration and Conciliation Act, 1996.</w:t>
      </w:r>
    </w:p>
    <w:p>
      <w:pPr>
        <w:numPr>
          <w:ilvl w:val="0"/>
          <w:numId w:val="1002"/>
        </w:numPr>
        <w:pStyle w:val="Compact"/>
      </w:pPr>
      <w:r>
        <w:t xml:space="preserve">Force Majeure: Delays caused by monsoon flooding (common in India Bangalore during June–September), government-mandated lockdowns, or natural disasters shall extend the project timeline proportionally without penalty.</w:t>
      </w:r>
    </w:p>
    <w:p>
      <w:pPr>
        <w:numPr>
          <w:ilvl w:val="0"/>
          <w:numId w:val="1002"/>
        </w:numPr>
        <w:pStyle w:val="Compact"/>
      </w:pPr>
      <w:r>
        <w:t xml:space="preserve">All invoices shall be issued in INR and are payable within 15 days of receipt. Late payments shall attract interest at 1.5% per month.</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 masonry services to be carried out in India Bangalore. The undersigned agrees to all terms, conditions, rates, and payment milestones outlined herein.</w:t>
      </w:r>
    </w:p>
    <w:p>
      <w:pPr>
        <w:pStyle w:val="BodyText"/>
      </w:pPr>
      <w:r>
        <w:rPr>
          <w:bCs/>
          <w:b/>
        </w:rPr>
        <w:t xml:space="preserve">For Bangalore Mason &amp; Construction Services Pvt. Ltd.</w:t>
      </w:r>
      <w:r>
        <w:br/>
      </w:r>
      <w:r>
        <w:t xml:space="preserve">Authorized Signatory</w:t>
      </w:r>
      <w:r>
        <w:br/>
      </w:r>
      <w:r>
        <w:t xml:space="preserve">Name: Suresh Nair</w:t>
      </w:r>
      <w:r>
        <w:br/>
      </w:r>
      <w:r>
        <w:t xml:space="preserve">Designation: Project Director</w:t>
      </w:r>
      <w:r>
        <w:br/>
      </w:r>
      <w:r>
        <w:t xml:space="preserve">Date: _______________</w:t>
      </w:r>
    </w:p>
    <w:p>
      <w:pPr>
        <w:pStyle w:val="BodyText"/>
      </w:pPr>
      <w:r>
        <w:rPr>
          <w:bCs/>
          <w:b/>
        </w:rPr>
        <w:t xml:space="preserve">For the Client</w:t>
      </w:r>
      <w:r>
        <w:br/>
      </w:r>
      <w:r>
        <w:t xml:space="preserve">Name: Mr. Rajesh Kumar</w:t>
      </w:r>
      <w:r>
        <w:br/>
      </w:r>
      <w:r>
        <w:t xml:space="preserve">Signature: _______________</w:t>
      </w:r>
      <w:r>
        <w:br/>
      </w:r>
      <w:r>
        <w:t xml:space="preserve">Date: _______________</w:t>
      </w:r>
    </w:p>
    <w:p>
      <w:pPr>
        <w:pStyle w:val="BodyText"/>
      </w:pPr>
      <w:r>
        <w:t xml:space="preserve">This Quotation Estimate document is generated by Bangalore Mason &amp; Construction Services Pvt. Ltd., India Bangalore. Document Ref: QTE-BLR-2025-0472 | Page 1 of 1</w:t>
      </w:r>
    </w:p>
    <w:p>
      <w:pPr>
        <w:pStyle w:val="BodyText"/>
      </w:pPr>
      <w:r>
        <w:t xml:space="preserve">Thank you for considering our Mason services. We look forward to building your project in India Bangalore.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India Bangalore</dc:title>
  <dc:creator/>
  <dc:language>en</dc:language>
  <cp:keywords/>
  <dcterms:created xsi:type="dcterms:W3CDTF">2026-10-10T06:24:04Z</dcterms:created>
  <dcterms:modified xsi:type="dcterms:W3CDTF">2026-10-10T06:24:04Z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