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Persian Stone &amp; Mason Co., Ltd.</w:t>
      </w:r>
    </w:p>
    <w:p>
      <w:pPr>
        <w:pStyle w:val="BodyText"/>
      </w:pPr>
      <w:r>
        <w:t xml:space="preserve">Address: Valiasr Street, District 1, Tehran, Iran</w:t>
      </w:r>
    </w:p>
    <w:p>
      <w:pPr>
        <w:pStyle w:val="BodyText"/>
      </w:pPr>
      <w:r>
        <w:t xml:space="preserve">Phone: +98 21 8877 6655 | Email: estimates@persianstonemason.ir</w:t>
      </w:r>
    </w:p>
    <w:p>
      <w:pPr>
        <w:pStyle w:val="BodyText"/>
      </w:pPr>
      <w:r>
        <w:t xml:space="preserve">Registration No. 4421-IR-TN | Tax ID: 1020456789</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QTE-2025-TEH-0347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Name</w:t>
            </w:r>
          </w:p>
        </w:tc>
        <w:tc>
          <w:tcPr/>
          <w:p>
            <w:pPr>
              <w:pStyle w:val="Compact"/>
              <w:jc w:val="left"/>
            </w:pPr>
            <w:r>
              <w:t xml:space="preserve">Mr. Reza Karimi</w:t>
            </w:r>
          </w:p>
        </w:tc>
      </w:tr>
      <w:tr>
        <w:tc>
          <w:tcPr/>
          <w:p>
            <w:pPr>
              <w:pStyle w:val="Compact"/>
              <w:jc w:val="left"/>
            </w:pPr>
            <w:r>
              <w:t xml:space="preserve">Client Address</w:t>
            </w:r>
          </w:p>
        </w:tc>
        <w:tc>
          <w:tcPr/>
          <w:p>
            <w:pPr>
              <w:pStyle w:val="Compact"/>
              <w:jc w:val="left"/>
            </w:pPr>
            <w:r>
              <w:t xml:space="preserve">Unit 12, Building 4, Enghelab Avenue, District 6, Tehran, Iran</w:t>
            </w:r>
          </w:p>
        </w:tc>
      </w:tr>
      <w:tr>
        <w:tc>
          <w:tcPr/>
          <w:p>
            <w:pPr>
              <w:pStyle w:val="Compact"/>
              <w:jc w:val="left"/>
            </w:pPr>
            <w:r>
              <w:t xml:space="preserve">Project Location</w:t>
            </w:r>
          </w:p>
        </w:tc>
        <w:tc>
          <w:tcPr/>
          <w:p>
            <w:pPr>
              <w:pStyle w:val="Compact"/>
              <w:jc w:val="left"/>
            </w:pPr>
            <w:r>
              <w:t xml:space="preserve">Residential Complex, District 6, Tehran, Iran</w:t>
            </w:r>
          </w:p>
        </w:tc>
      </w:tr>
      <w:tr>
        <w:tc>
          <w:tcPr/>
          <w:p>
            <w:pPr>
              <w:pStyle w:val="Compact"/>
              <w:jc w:val="left"/>
            </w:pPr>
            <w:r>
              <w:t xml:space="preserve">Prepared By</w:t>
            </w:r>
          </w:p>
        </w:tc>
        <w:tc>
          <w:tcPr/>
          <w:p>
            <w:pPr>
              <w:pStyle w:val="Compact"/>
              <w:jc w:val="left"/>
            </w:pPr>
            <w:r>
              <w:t xml:space="preserve">Engineer Saeed Mohammadi, Senior Mason Supervisor</w:t>
            </w:r>
          </w:p>
        </w:tc>
      </w:tr>
    </w:tbl>
    <w:bookmarkStart w:id="21" w:name="scope-of-mason-work-iran-tehran"/>
    <w:p>
      <w:pPr>
        <w:pStyle w:val="Heading2"/>
      </w:pPr>
      <w:r>
        <w:t xml:space="preserve">1. Scope of Mason Work – Iran Tehran</w:t>
      </w:r>
    </w:p>
    <w:p>
      <w:pPr>
        <w:pStyle w:val="FirstParagraph"/>
      </w:pPr>
      <w:r>
        <w:t xml:space="preserve">This Quotation Estimate is issued by Persian Stone &amp; Mason Co., Ltd. to provide a comprehensive and itemized cost breakdown for all masonry services required at the above-referenced residential project in Iran Tehran. The Mason team assigned to this project will execute all structural and decorative masonry work in full compliance with the National Building Regulations of Iran (Standard 2800 and Standard 2900) and the municipal building codes enforced by the Tehran Municipality. All masonry work will be carried out by certified Mason professionals with a minimum of ten years of experience in residential and commercial construction within the Tehran metropolitan area.</w:t>
      </w:r>
    </w:p>
    <w:bookmarkEnd w:id="21"/>
    <w:bookmarkStart w:id="22"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Structural brick masonry walls (20 cm thick, standard red clay bricks, cement mortar 1:4 mix) – Ground floor to 3rd floor</w:t>
            </w:r>
          </w:p>
        </w:tc>
        <w:tc>
          <w:tcPr/>
          <w:p>
            <w:pPr>
              <w:pStyle w:val="Compact"/>
              <w:jc w:val="left"/>
            </w:pPr>
            <w:r>
              <w:t xml:space="preserve">m²</w:t>
            </w:r>
          </w:p>
        </w:tc>
        <w:tc>
          <w:tcPr/>
          <w:p>
            <w:pPr>
              <w:pStyle w:val="Compact"/>
              <w:jc w:val="left"/>
            </w:pPr>
            <w:r>
              <w:t xml:space="preserve">420</w:t>
            </w:r>
          </w:p>
        </w:tc>
        <w:tc>
          <w:tcPr/>
          <w:p>
            <w:pPr>
              <w:pStyle w:val="Compact"/>
              <w:jc w:val="left"/>
            </w:pPr>
            <w:r>
              <w:t xml:space="preserve">850,000</w:t>
            </w:r>
          </w:p>
        </w:tc>
        <w:tc>
          <w:tcPr/>
          <w:p>
            <w:pPr>
              <w:pStyle w:val="Compact"/>
              <w:jc w:val="left"/>
            </w:pPr>
            <w:r>
              <w:t xml:space="preserve">357,000,000</w:t>
            </w:r>
          </w:p>
        </w:tc>
      </w:tr>
      <w:tr>
        <w:tc>
          <w:tcPr/>
          <w:p>
            <w:pPr>
              <w:pStyle w:val="Compact"/>
              <w:jc w:val="left"/>
            </w:pPr>
            <w:r>
              <w:t xml:space="preserve">02</w:t>
            </w:r>
          </w:p>
        </w:tc>
        <w:tc>
          <w:tcPr/>
          <w:p>
            <w:pPr>
              <w:pStyle w:val="Compact"/>
              <w:jc w:val="left"/>
            </w:pPr>
            <w:r>
              <w:t xml:space="preserve">Load-bearing block masonry (20 cm concrete hollow blocks, cement mortar 1:5 mix) – Basement level</w:t>
            </w:r>
          </w:p>
        </w:tc>
        <w:tc>
          <w:tcPr/>
          <w:p>
            <w:pPr>
              <w:pStyle w:val="Compact"/>
              <w:jc w:val="left"/>
            </w:pPr>
            <w:r>
              <w:t xml:space="preserve">m²</w:t>
            </w:r>
          </w:p>
        </w:tc>
        <w:tc>
          <w:tcPr/>
          <w:p>
            <w:pPr>
              <w:pStyle w:val="Compact"/>
              <w:jc w:val="left"/>
            </w:pPr>
            <w:r>
              <w:t xml:space="preserve">185</w:t>
            </w:r>
          </w:p>
        </w:tc>
        <w:tc>
          <w:tcPr/>
          <w:p>
            <w:pPr>
              <w:pStyle w:val="Compact"/>
              <w:jc w:val="left"/>
            </w:pPr>
            <w:r>
              <w:t xml:space="preserve">720,000</w:t>
            </w:r>
          </w:p>
        </w:tc>
        <w:tc>
          <w:tcPr/>
          <w:p>
            <w:pPr>
              <w:pStyle w:val="Compact"/>
              <w:jc w:val="left"/>
            </w:pPr>
            <w:r>
              <w:t xml:space="preserve">133,200,000</w:t>
            </w:r>
          </w:p>
        </w:tc>
      </w:tr>
      <w:tr>
        <w:tc>
          <w:tcPr/>
          <w:p>
            <w:pPr>
              <w:pStyle w:val="Compact"/>
              <w:jc w:val="left"/>
            </w:pPr>
            <w:r>
              <w:t xml:space="preserve">03</w:t>
            </w:r>
          </w:p>
        </w:tc>
        <w:tc>
          <w:tcPr/>
          <w:p>
            <w:pPr>
              <w:pStyle w:val="Compact"/>
              <w:jc w:val="left"/>
            </w:pPr>
            <w:r>
              <w:t xml:space="preserve">Decorative stone cladding (natural travertine, 2 cm thickness) – Main entrance facade, District 6, Tehran</w:t>
            </w:r>
          </w:p>
        </w:tc>
        <w:tc>
          <w:tcPr/>
          <w:p>
            <w:pPr>
              <w:pStyle w:val="Compact"/>
              <w:jc w:val="left"/>
            </w:pPr>
            <w:r>
              <w:t xml:space="preserve">m²</w:t>
            </w:r>
          </w:p>
        </w:tc>
        <w:tc>
          <w:tcPr/>
          <w:p>
            <w:pPr>
              <w:pStyle w:val="Compact"/>
              <w:jc w:val="left"/>
            </w:pPr>
            <w:r>
              <w:t xml:space="preserve">95</w:t>
            </w:r>
          </w:p>
        </w:tc>
        <w:tc>
          <w:tcPr/>
          <w:p>
            <w:pPr>
              <w:pStyle w:val="Compact"/>
              <w:jc w:val="left"/>
            </w:pPr>
            <w:r>
              <w:t xml:space="preserve">2,400,000</w:t>
            </w:r>
          </w:p>
        </w:tc>
        <w:tc>
          <w:tcPr/>
          <w:p>
            <w:pPr>
              <w:pStyle w:val="Compact"/>
              <w:jc w:val="left"/>
            </w:pPr>
            <w:r>
              <w:t xml:space="preserve">228,000,000</w:t>
            </w:r>
          </w:p>
        </w:tc>
      </w:tr>
      <w:tr>
        <w:tc>
          <w:tcPr/>
          <w:p>
            <w:pPr>
              <w:pStyle w:val="Compact"/>
              <w:jc w:val="left"/>
            </w:pPr>
            <w:r>
              <w:t xml:space="preserve">04</w:t>
            </w:r>
          </w:p>
        </w:tc>
        <w:tc>
          <w:tcPr/>
          <w:p>
            <w:pPr>
              <w:pStyle w:val="Compact"/>
              <w:jc w:val="left"/>
            </w:pPr>
            <w:r>
              <w:t xml:space="preserve">Interior partition masonry (10 cm lightweight aerated concrete blocks, gypsum-based mortar)</w:t>
            </w:r>
          </w:p>
        </w:tc>
        <w:tc>
          <w:tcPr/>
          <w:p>
            <w:pPr>
              <w:pStyle w:val="Compact"/>
              <w:jc w:val="left"/>
            </w:pPr>
            <w:r>
              <w:t xml:space="preserve">m²</w:t>
            </w:r>
          </w:p>
        </w:tc>
        <w:tc>
          <w:tcPr/>
          <w:p>
            <w:pPr>
              <w:pStyle w:val="Compact"/>
              <w:jc w:val="left"/>
            </w:pPr>
            <w:r>
              <w:t xml:space="preserve">310</w:t>
            </w:r>
          </w:p>
        </w:tc>
        <w:tc>
          <w:tcPr/>
          <w:p>
            <w:pPr>
              <w:pStyle w:val="Compact"/>
              <w:jc w:val="left"/>
            </w:pPr>
            <w:r>
              <w:t xml:space="preserve">580,000</w:t>
            </w:r>
          </w:p>
        </w:tc>
        <w:tc>
          <w:tcPr/>
          <w:p>
            <w:pPr>
              <w:pStyle w:val="Compact"/>
              <w:jc w:val="left"/>
            </w:pPr>
            <w:r>
              <w:t xml:space="preserve">179,800,000</w:t>
            </w:r>
          </w:p>
        </w:tc>
      </w:tr>
      <w:tr>
        <w:tc>
          <w:tcPr/>
          <w:p>
            <w:pPr>
              <w:pStyle w:val="Compact"/>
              <w:jc w:val="left"/>
            </w:pPr>
            <w:r>
              <w:t xml:space="preserve">05</w:t>
            </w:r>
          </w:p>
        </w:tc>
        <w:tc>
          <w:tcPr/>
          <w:p>
            <w:pPr>
              <w:pStyle w:val="Compact"/>
              <w:jc w:val="left"/>
            </w:pPr>
            <w:r>
              <w:t xml:space="preserve">Mason-built staircase (reinforced concrete with brick infill, granite treads, wrought-iron balustrade)</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Fireplace and chimney masonry (refractory bricks, heat-resistant mortar, steel lining)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07</w:t>
            </w:r>
          </w:p>
        </w:tc>
        <w:tc>
          <w:tcPr/>
          <w:p>
            <w:pPr>
              <w:pStyle w:val="Compact"/>
              <w:jc w:val="left"/>
            </w:pPr>
            <w:r>
              <w:t xml:space="preserve">Exterior plastering and rendering (two-coat cement plaster, 15 mm total thickness) – All external masonry surfaces</w:t>
            </w:r>
          </w:p>
        </w:tc>
        <w:tc>
          <w:tcPr/>
          <w:p>
            <w:pPr>
              <w:pStyle w:val="Compact"/>
              <w:jc w:val="left"/>
            </w:pPr>
            <w:r>
              <w:t xml:space="preserve">m²</w:t>
            </w:r>
          </w:p>
        </w:tc>
        <w:tc>
          <w:tcPr/>
          <w:p>
            <w:pPr>
              <w:pStyle w:val="Compact"/>
              <w:jc w:val="left"/>
            </w:pPr>
            <w:r>
              <w:t xml:space="preserve">520</w:t>
            </w:r>
          </w:p>
        </w:tc>
        <w:tc>
          <w:tcPr/>
          <w:p>
            <w:pPr>
              <w:pStyle w:val="Compact"/>
              <w:jc w:val="left"/>
            </w:pPr>
            <w:r>
              <w:t xml:space="preserve">380,000</w:t>
            </w:r>
          </w:p>
        </w:tc>
        <w:tc>
          <w:tcPr/>
          <w:p>
            <w:pPr>
              <w:pStyle w:val="Compact"/>
              <w:jc w:val="left"/>
            </w:pPr>
            <w:r>
              <w:t xml:space="preserve">197,600,000</w:t>
            </w:r>
          </w:p>
        </w:tc>
      </w:tr>
      <w:tr>
        <w:tc>
          <w:tcPr/>
          <w:p>
            <w:pPr>
              <w:pStyle w:val="Compact"/>
              <w:jc w:val="left"/>
            </w:pPr>
            <w:r>
              <w:t xml:space="preserve">08</w:t>
            </w:r>
          </w:p>
        </w:tc>
        <w:tc>
          <w:tcPr/>
          <w:p>
            <w:pPr>
              <w:pStyle w:val="Compact"/>
              <w:jc w:val="left"/>
            </w:pPr>
            <w:r>
              <w:t xml:space="preserve">Foundation masonry (mass concrete with brick coping, waterproofing membrane)</w:t>
            </w:r>
          </w:p>
        </w:tc>
        <w:tc>
          <w:tcPr/>
          <w:p>
            <w:pPr>
              <w:pStyle w:val="Compact"/>
              <w:jc w:val="left"/>
            </w:pPr>
            <w:r>
              <w:t xml:space="preserve">m³</w:t>
            </w:r>
          </w:p>
        </w:tc>
        <w:tc>
          <w:tcPr/>
          <w:p>
            <w:pPr>
              <w:pStyle w:val="Compact"/>
              <w:jc w:val="left"/>
            </w:pPr>
            <w:r>
              <w:t xml:space="preserve">68</w:t>
            </w:r>
          </w:p>
        </w:tc>
        <w:tc>
          <w:tcPr/>
          <w:p>
            <w:pPr>
              <w:pStyle w:val="Compact"/>
              <w:jc w:val="left"/>
            </w:pPr>
            <w:r>
              <w:t xml:space="preserve">1,150,000</w:t>
            </w:r>
          </w:p>
        </w:tc>
        <w:tc>
          <w:tcPr/>
          <w:p>
            <w:pPr>
              <w:pStyle w:val="Compact"/>
              <w:jc w:val="left"/>
            </w:pPr>
            <w:r>
              <w:t xml:space="preserve">78,200,000</w:t>
            </w:r>
          </w:p>
        </w:tc>
      </w:tr>
      <w:tr>
        <w:tc>
          <w:tcPr/>
          <w:p>
            <w:pPr>
              <w:pStyle w:val="Compact"/>
              <w:jc w:val="left"/>
            </w:pPr>
            <w:r>
              <w:t xml:space="preserve">09</w:t>
            </w:r>
          </w:p>
        </w:tc>
        <w:tc>
          <w:tcPr/>
          <w:p>
            <w:pPr>
              <w:pStyle w:val="Compact"/>
              <w:jc w:val="left"/>
            </w:pPr>
            <w:r>
              <w:t xml:space="preserve">Site preparation, material handling, scaffolding, and Mason crew mobilization in Tehran</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10</w:t>
            </w:r>
          </w:p>
        </w:tc>
        <w:tc>
          <w:tcPr/>
          <w:p>
            <w:pPr>
              <w:pStyle w:val="Compact"/>
              <w:jc w:val="left"/>
            </w:pPr>
            <w:r>
              <w:t xml:space="preserve">Waste removal, site cleanup, and final finishing of all masonry surfaces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gridSpan w:val="5"/>
          </w:tcPr>
          <w:p>
            <w:pPr>
              <w:pStyle w:val="Compact"/>
              <w:jc w:val="left"/>
            </w:pPr>
            <w:r>
              <w:t xml:space="preserve">Subtotal</w:t>
            </w:r>
          </w:p>
        </w:tc>
        <w:tc>
          <w:tcPr/>
          <w:p>
            <w:pPr>
              <w:pStyle w:val="Compact"/>
              <w:jc w:val="left"/>
            </w:pPr>
            <w:r>
              <w:t xml:space="preserve">1,400,000,000</w:t>
            </w:r>
          </w:p>
        </w:tc>
      </w:tr>
      <w:tr>
        <w:tc>
          <w:tcPr>
            <w:gridSpan w:val="5"/>
          </w:tcPr>
          <w:p>
            <w:pPr>
              <w:pStyle w:val="Compact"/>
              <w:jc w:val="left"/>
            </w:pPr>
            <w:r>
              <w:t xml:space="preserve">VAT (10% – Iranian Value Added Tax)</w:t>
            </w:r>
          </w:p>
        </w:tc>
        <w:tc>
          <w:tcPr/>
          <w:p>
            <w:pPr>
              <w:pStyle w:val="Compact"/>
              <w:jc w:val="left"/>
            </w:pPr>
            <w:r>
              <w:t xml:space="preserve">140,000,000</w:t>
            </w:r>
          </w:p>
        </w:tc>
      </w:tr>
      <w:tr>
        <w:tc>
          <w:tcPr>
            <w:gridSpan w:val="5"/>
          </w:tcPr>
          <w:p>
            <w:pPr>
              <w:pStyle w:val="Compact"/>
              <w:jc w:val="left"/>
            </w:pPr>
            <w:r>
              <w:t xml:space="preserve">Grand Total (Quotation Estimate)</w:t>
            </w:r>
          </w:p>
        </w:tc>
        <w:tc>
          <w:tcPr/>
          <w:p>
            <w:pPr>
              <w:pStyle w:val="Compact"/>
              <w:jc w:val="left"/>
            </w:pPr>
            <w:r>
              <w:t xml:space="preserve">1,540,000,000 IRR</w:t>
            </w:r>
          </w:p>
        </w:tc>
      </w:tr>
    </w:tbl>
    <w:bookmarkEnd w:id="22"/>
    <w:bookmarkStart w:id="23" w:name="payment-schedule"/>
    <w:p>
      <w:pPr>
        <w:pStyle w:val="Heading2"/>
      </w:pPr>
      <w:r>
        <w:t xml:space="preserve">3. Payment Schedule</w:t>
      </w:r>
    </w:p>
    <w:p>
      <w:pPr>
        <w:pStyle w:val="FirstParagraph"/>
      </w:pPr>
      <w:r>
        <w:t xml:space="preserve">The total Quotation Estimate amount of 1,540,000,000 Iranian Rials shall be disbursed in the following installments, tied to verified milestones of Mason work completion:</w:t>
      </w:r>
    </w:p>
    <w:p>
      <w:pPr>
        <w:numPr>
          <w:ilvl w:val="0"/>
          <w:numId w:val="1001"/>
        </w:numPr>
        <w:pStyle w:val="Compact"/>
      </w:pPr>
      <w:r>
        <w:rPr>
          <w:bCs/>
          <w:b/>
        </w:rPr>
        <w:t xml:space="preserve">Advance Payment (30%):</w:t>
      </w:r>
      <w:r>
        <w:t xml:space="preserve"> </w:t>
      </w:r>
      <w:r>
        <w:t xml:space="preserve">462,000,000 IRR – Upon signing of the construction contract and delivery of the Mason crew to the Tehran site.</w:t>
      </w:r>
    </w:p>
    <w:p>
      <w:pPr>
        <w:numPr>
          <w:ilvl w:val="0"/>
          <w:numId w:val="1001"/>
        </w:numPr>
        <w:pStyle w:val="Compact"/>
      </w:pPr>
      <w:r>
        <w:rPr>
          <w:bCs/>
          <w:b/>
        </w:rPr>
        <w:t xml:space="preserve">Progress Payment 1 (25%):</w:t>
      </w:r>
      <w:r>
        <w:t xml:space="preserve"> </w:t>
      </w:r>
      <w:r>
        <w:t xml:space="preserve">385,000,000 IRR – Upon completion of all structural masonry walls (Items 01 and 02).</w:t>
      </w:r>
    </w:p>
    <w:p>
      <w:pPr>
        <w:numPr>
          <w:ilvl w:val="0"/>
          <w:numId w:val="1001"/>
        </w:numPr>
        <w:pStyle w:val="Compact"/>
      </w:pPr>
      <w:r>
        <w:rPr>
          <w:bCs/>
          <w:b/>
        </w:rPr>
        <w:t xml:space="preserve">Progress Payment 2 (25%):</w:t>
      </w:r>
      <w:r>
        <w:t xml:space="preserve"> </w:t>
      </w:r>
      <w:r>
        <w:t xml:space="preserve">385,000,000 IRR – Upon completion of interior partitions, staircase, and fireplace masonry (Items 04, 05, 06).</w:t>
      </w:r>
    </w:p>
    <w:p>
      <w:pPr>
        <w:numPr>
          <w:ilvl w:val="0"/>
          <w:numId w:val="1001"/>
        </w:numPr>
        <w:pStyle w:val="Compact"/>
      </w:pPr>
      <w:r>
        <w:rPr>
          <w:bCs/>
          <w:b/>
        </w:rPr>
        <w:t xml:space="preserve">Final Payment (20%):</w:t>
      </w:r>
      <w:r>
        <w:t xml:space="preserve"> </w:t>
      </w:r>
      <w:r>
        <w:t xml:space="preserve">308,000,000 IRR – Upon final inspection, sign-off by the Tehran municipal building inspector, and handover of all masonry work.</w:t>
      </w:r>
    </w:p>
    <w:bookmarkEnd w:id="23"/>
    <w:bookmarkStart w:id="24" w:name="project-timeline"/>
    <w:p>
      <w:pPr>
        <w:pStyle w:val="Heading2"/>
      </w:pPr>
      <w:r>
        <w:t xml:space="preserve">4. Project Timeline</w:t>
      </w:r>
    </w:p>
    <w:p>
      <w:pPr>
        <w:pStyle w:val="FirstParagraph"/>
      </w:pPr>
      <w:r>
        <w:t xml:space="preserve">The Mason team estimates a total construction duration of</w:t>
      </w:r>
      <w:r>
        <w:t xml:space="preserve"> </w:t>
      </w:r>
      <w:r>
        <w:rPr>
          <w:bCs/>
          <w:b/>
        </w:rPr>
        <w:t xml:space="preserve">14 weeks</w:t>
      </w:r>
      <w:r>
        <w:t xml:space="preserve"> </w:t>
      </w:r>
      <w:r>
        <w:t xml:space="preserve">(approximately 98 working days) from the date of site mobilization in Tehran. The schedule accounts for seasonal weather conditions typical of Iran Tehran, including potential rain delays during the spring and autumn months. A detailed Gantt chart will be provided upon contract execution.</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expiry date, all prices are subject to revision based on current material costs in the Tehran construction market.</w:t>
      </w:r>
    </w:p>
    <w:p>
      <w:pPr>
        <w:numPr>
          <w:ilvl w:val="0"/>
          <w:numId w:val="1002"/>
        </w:numPr>
        <w:pStyle w:val="Compact"/>
      </w:pPr>
      <w:r>
        <w:t xml:space="preserve">All masonry work shall be performed by qualified Mason professionals supervised by a licensed structural engineer registered with the Iranian Engineers' Association.</w:t>
      </w:r>
    </w:p>
    <w:p>
      <w:pPr>
        <w:numPr>
          <w:ilvl w:val="0"/>
          <w:numId w:val="1002"/>
        </w:numPr>
        <w:pStyle w:val="Compact"/>
      </w:pPr>
      <w:r>
        <w:t xml:space="preserve">The client is responsible for obtaining all necessary building permits from the Tehran Municipality (Shahrdari) prior to the commencement of any Mason work on site.</w:t>
      </w:r>
    </w:p>
    <w:p>
      <w:pPr>
        <w:numPr>
          <w:ilvl w:val="0"/>
          <w:numId w:val="1002"/>
        </w:numPr>
        <w:pStyle w:val="Compact"/>
      </w:pPr>
      <w:r>
        <w:t xml:space="preserve">Materials specified in this Quotation Estimate include standard red clay bricks, 20 cm concrete hollow blocks, 10 cm aerated concrete blocks, natural travertine stone, Portland cement (Type I), and approved aggregates sourced from licensed suppliers in the Tehran region.</w:t>
      </w:r>
    </w:p>
    <w:p>
      <w:pPr>
        <w:numPr>
          <w:ilvl w:val="0"/>
          <w:numId w:val="1002"/>
        </w:numPr>
        <w:pStyle w:val="Compact"/>
      </w:pPr>
      <w:r>
        <w:t xml:space="preserve">A warranty period of</w:t>
      </w:r>
      <w:r>
        <w:t xml:space="preserve"> </w:t>
      </w:r>
      <w:r>
        <w:rPr>
          <w:bCs/>
          <w:b/>
        </w:rPr>
        <w:t xml:space="preserve">two (2) years</w:t>
      </w:r>
      <w:r>
        <w:t xml:space="preserve"> </w:t>
      </w:r>
      <w:r>
        <w:t xml:space="preserve">is provided on all structural masonry work and</w:t>
      </w:r>
      <w:r>
        <w:t xml:space="preserve"> </w:t>
      </w:r>
      <w:r>
        <w:rPr>
          <w:bCs/>
          <w:b/>
        </w:rPr>
        <w:t xml:space="preserve">one (1) year</w:t>
      </w:r>
      <w:r>
        <w:t xml:space="preserve"> </w:t>
      </w:r>
      <w:r>
        <w:t xml:space="preserve">on decorative masonry and plastering, covering defects in workmanship and materials.</w:t>
      </w:r>
    </w:p>
    <w:p>
      <w:pPr>
        <w:numPr>
          <w:ilvl w:val="0"/>
          <w:numId w:val="1002"/>
        </w:numPr>
        <w:pStyle w:val="Compact"/>
      </w:pPr>
      <w:r>
        <w:t xml:space="preserve">Any additional Mason work requested by the client beyond the scope defined in this Quotation Estimate will be billed separately at the unit rates stated herein or at mutually agreed rates.</w:t>
      </w:r>
    </w:p>
    <w:p>
      <w:pPr>
        <w:numPr>
          <w:ilvl w:val="0"/>
          <w:numId w:val="1002"/>
        </w:numPr>
        <w:pStyle w:val="Compact"/>
      </w:pPr>
      <w:r>
        <w:t xml:space="preserve">All work shall comply with the labor laws of the Islamic Republic of Iran, including mandatory social security contributions (Tamin-e Ejtemaei) for all Mason crew members.</w:t>
      </w:r>
    </w:p>
    <w:p>
      <w:pPr>
        <w:numPr>
          <w:ilvl w:val="0"/>
          <w:numId w:val="1002"/>
        </w:numPr>
        <w:pStyle w:val="Compact"/>
      </w:pPr>
      <w:r>
        <w:t xml:space="preserve">Disputes arising from this Quotation Estimate or the subsequent contract shall be resolved through arbitration in Tehran, Iran, in accordance with the rules of the Tehran Regional Arbitration Center (TRAC).</w:t>
      </w:r>
    </w:p>
    <w:p>
      <w:pPr>
        <w:numPr>
          <w:ilvl w:val="0"/>
          <w:numId w:val="1002"/>
        </w:numPr>
        <w:pStyle w:val="Compact"/>
      </w:pPr>
      <w:r>
        <w:t xml:space="preserve">This Quotation Estimate does not constitute a binding contract until a formal construction agreement is signed by both parties.</w:t>
      </w:r>
    </w:p>
    <w:p>
      <w:pPr>
        <w:pStyle w:val="FirstParagraph"/>
      </w:pPr>
      <w:r>
        <w:rPr>
          <w:bCs/>
          <w:b/>
        </w:rPr>
        <w:t xml:space="preserve">Note:</w:t>
      </w:r>
      <w:r>
        <w:t xml:space="preserve"> </w:t>
      </w:r>
      <w:r>
        <w:t xml:space="preserve">All prices in this Quotation Estimate are quoted in Iranian Rials (IRR) and are inclusive of all labor, materials, tools, and equipment required for the Mason work. Prices do not include any municipal fees, utility connection charges, or third-party inspection costs that may be levied by the Tehran Municipality or relevant governmental bodies.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Mason services in Iran Tehran and agrees to the terms, conditions, and pricing outlined herein. This signature does not constitute a binding contract but serves as a formal expression of intent to proceed with the masonry project.</w:t>
      </w:r>
    </w:p>
    <w:p>
      <w:pPr>
        <w:pStyle w:val="BodyText"/>
      </w:pPr>
      <w:r>
        <w:rPr>
          <w:bCs/>
          <w:b/>
        </w:rPr>
        <w:t xml:space="preserve">For Persian Stone &amp; Mason Co., Ltd.</w:t>
      </w:r>
    </w:p>
    <w:p>
      <w:pPr>
        <w:pStyle w:val="BodyText"/>
      </w:pPr>
      <w:r>
        <w:t xml:space="preserve">Engineer Saeed Mohammadi</w:t>
      </w:r>
    </w:p>
    <w:p>
      <w:pPr>
        <w:pStyle w:val="BodyText"/>
      </w:pPr>
      <w:r>
        <w:t xml:space="preserve">Senior Mason Supervisor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Mr. Reza Karimi</w:t>
      </w:r>
    </w:p>
    <w:p>
      <w:pPr>
        <w:pStyle w:val="BodyText"/>
      </w:pPr>
      <w:r>
        <w:t xml:space="preserve">Project Owner</w:t>
      </w:r>
    </w:p>
    <w:p>
      <w:pPr>
        <w:pStyle w:val="BodyText"/>
      </w:pPr>
      <w:r>
        <w:t xml:space="preserve">Signature: _________________________</w:t>
      </w:r>
    </w:p>
    <w:p>
      <w:pPr>
        <w:pStyle w:val="BodyText"/>
      </w:pPr>
      <w:r>
        <w:t xml:space="preserve">Date: _________________________</w:t>
      </w:r>
    </w:p>
    <w:p>
      <w:pPr>
        <w:pStyle w:val="BodyText"/>
      </w:pPr>
      <w:r>
        <w:t xml:space="preserve">— End of Quotation Estimate QTE-2025-TEH-0347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Iran Tehran</dc:title>
  <dc:creator/>
  <dc:language>en</dc:language>
  <cp:keywords/>
  <dcterms:created xsi:type="dcterms:W3CDTF">2026-10-10T04:29:14Z</dcterms:created>
  <dcterms:modified xsi:type="dcterms:W3CDTF">2026-10-10T04:29:14Z</dcterms:modified>
</cp:coreProperties>
</file>

<file path=docProps/custom.xml><?xml version="1.0" encoding="utf-8"?>
<Properties xmlns="http://schemas.openxmlformats.org/officeDocument/2006/custom-properties" xmlns:vt="http://schemas.openxmlformats.org/officeDocument/2006/docPropsVTypes"/>
</file>