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Mason</w:t>
      </w:r>
      <w:r>
        <w:t xml:space="preserve"> </w:t>
      </w:r>
      <w:r>
        <w:t xml:space="preserve">Services</w:t>
      </w:r>
      <w:r>
        <w:t xml:space="preserve"> </w:t>
      </w:r>
      <w:r>
        <w:t xml:space="preserve">-</w:t>
      </w:r>
      <w:r>
        <w:t xml:space="preserve"> </w:t>
      </w:r>
      <w:r>
        <w:t xml:space="preserve">Israel</w:t>
      </w:r>
      <w:r>
        <w:t xml:space="preserve"> </w:t>
      </w:r>
      <w:r>
        <w:t xml:space="preserve">Tel</w:t>
      </w:r>
      <w:r>
        <w:t xml:space="preserve"> </w:t>
      </w:r>
      <w:r>
        <w:t xml:space="preserve">Aviv</w:t>
      </w:r>
    </w:p>
    <w:bookmarkStart w:id="20" w:name="quotation-estimate"/>
    <w:p>
      <w:pPr>
        <w:pStyle w:val="Heading1"/>
      </w:pPr>
      <w:r>
        <w:t xml:space="preserve">QUOTATION ESTIMATE</w:t>
      </w:r>
    </w:p>
    <w:p>
      <w:pPr>
        <w:pStyle w:val="FirstParagraph"/>
      </w:pPr>
      <w:r>
        <w:rPr>
          <w:bCs/>
          <w:b/>
        </w:rPr>
        <w:t xml:space="preserve">Mason &amp; Stonework Services Ltd.</w:t>
      </w:r>
    </w:p>
    <w:p>
      <w:pPr>
        <w:pStyle w:val="BodyText"/>
      </w:pPr>
      <w:r>
        <w:t xml:space="preserve">14 Herzl Street, Tel Aviv-Yafo, Israel 63281</w:t>
      </w:r>
    </w:p>
    <w:p>
      <w:pPr>
        <w:pStyle w:val="BodyText"/>
      </w:pPr>
      <w:r>
        <w:t xml:space="preserve">Tel: +972-3-512-4478 | Email: estimates@masonstonework.co.il</w:t>
      </w:r>
    </w:p>
    <w:p>
      <w:pPr>
        <w:pStyle w:val="BodyText"/>
      </w:pPr>
      <w:r>
        <w:t xml:space="preserve">VAT No. 51-234-567-8 | License No. IL-MAS-2024-0891</w:t>
      </w:r>
    </w:p>
    <w:bookmarkEnd w:id="20"/>
    <w:p>
      <w:pPr>
        <w:pStyle w:val="BodyText"/>
      </w:pPr>
      <w:r>
        <w:rPr>
          <w:bCs/>
          <w:b/>
        </w:rPr>
        <w:t xml:space="preserve">Quotation No.:</w:t>
      </w:r>
      <w:r>
        <w:t xml:space="preserve"> </w:t>
      </w:r>
      <w:r>
        <w:t xml:space="preserve">QE-TLV-2025-0347</w:t>
      </w:r>
      <w:r>
        <w:br/>
      </w:r>
      <w:r>
        <w:rPr>
          <w:bCs/>
          <w:b/>
        </w:rPr>
        <w:t xml:space="preserve">Date Issued:</w:t>
      </w:r>
      <w:r>
        <w:t xml:space="preserve"> </w:t>
      </w:r>
      <w:r>
        <w:t xml:space="preserve">12 June 2025</w:t>
      </w:r>
      <w:r>
        <w:br/>
      </w:r>
      <w:r>
        <w:rPr>
          <w:bCs/>
          <w:b/>
        </w:rPr>
        <w:t xml:space="preserve">Valid Until:</w:t>
      </w:r>
      <w:r>
        <w:t xml:space="preserve"> </w:t>
      </w:r>
      <w:r>
        <w:t xml:space="preserve">12 July 2025</w:t>
      </w:r>
    </w:p>
    <w:p>
      <w:pPr>
        <w:pStyle w:val="BodyText"/>
      </w:pPr>
      <w:r>
        <w:rPr>
          <w:bCs/>
          <w:b/>
        </w:rPr>
        <w:t xml:space="preserve">Prepared For:</w:t>
      </w:r>
      <w:r>
        <w:br/>
      </w:r>
      <w:r>
        <w:t xml:space="preserve">Mr. David Ben-Ari</w:t>
      </w:r>
      <w:r>
        <w:br/>
      </w:r>
      <w:r>
        <w:t xml:space="preserve">27 Allenby Boulevard, Apt. 12B</w:t>
      </w:r>
      <w:r>
        <w:br/>
      </w:r>
      <w:r>
        <w:t xml:space="preserve">Tel Aviv, Israel 65000</w:t>
      </w:r>
      <w:r>
        <w:br/>
      </w:r>
      <w:r>
        <w:t xml:space="preserve">Tel: +972-54-778-9012</w:t>
      </w:r>
    </w:p>
    <w:bookmarkStart w:id="21" w:name="project-overview"/>
    <w:p>
      <w:pPr>
        <w:pStyle w:val="Heading2"/>
      </w:pPr>
      <w:r>
        <w:t xml:space="preserve">1. Project Overview</w:t>
      </w:r>
    </w:p>
    <w:p>
      <w:pPr>
        <w:pStyle w:val="FirstParagraph"/>
      </w:pPr>
      <w:r>
        <w:t xml:space="preserve">This</w:t>
      </w:r>
      <w:r>
        <w:t xml:space="preserve"> </w:t>
      </w:r>
      <w:r>
        <w:t xml:space="preserve">Quotation Estimate</w:t>
      </w:r>
      <w:r>
        <w:t xml:space="preserve"> </w:t>
      </w:r>
      <w:r>
        <w:t xml:space="preserve">is issued by Mason &amp; Stonework Services Ltd. in response to the site inspection conducted on 5 June 2025 at the residential property located on Allenby Boulevard, Tel Aviv. The scope of work encompasses comprehensive masonry, stonework, and structural repair services to be executed in accordance with the Building Code of Israel (Tikun 100) and all applicable municipal regulations of the Tel Aviv-Yafo Municipality. Our team of licensed</w:t>
      </w:r>
      <w:r>
        <w:t xml:space="preserve"> </w:t>
      </w:r>
      <w:r>
        <w:t xml:space="preserve">Mason</w:t>
      </w:r>
      <w:r>
        <w:t xml:space="preserve"> </w:t>
      </w:r>
      <w:r>
        <w:t xml:space="preserve">professionals will carry out all works using materials that meet Israeli Standards (SII) specifications.</w:t>
      </w:r>
    </w:p>
    <w:bookmarkEnd w:id="21"/>
    <w:bookmarkStart w:id="22" w:name="scope-of-work-mason-services"/>
    <w:p>
      <w:pPr>
        <w:pStyle w:val="Heading2"/>
      </w:pPr>
      <w:r>
        <w:t xml:space="preserve">2. Scope of Work – Mason Services</w:t>
      </w:r>
    </w:p>
    <w:p>
      <w:pPr>
        <w:pStyle w:val="FirstParagraph"/>
      </w:pPr>
      <w:r>
        <w:t xml:space="preserve">The following masonry and stonework tasks have been identified and are included in this</w:t>
      </w:r>
      <w:r>
        <w:t xml:space="preserve"> </w:t>
      </w:r>
      <w:r>
        <w:t xml:space="preserve">Quotation Estimate</w:t>
      </w:r>
      <w:r>
        <w:t xml:space="preserve">:</w:t>
      </w:r>
    </w:p>
    <w:p>
      <w:pPr>
        <w:numPr>
          <w:ilvl w:val="0"/>
          <w:numId w:val="1001"/>
        </w:numPr>
        <w:pStyle w:val="Compact"/>
      </w:pPr>
      <w:r>
        <w:rPr>
          <w:bCs/>
          <w:b/>
        </w:rPr>
        <w:t xml:space="preserve">Structural Masonry Repair:</w:t>
      </w:r>
      <w:r>
        <w:t xml:space="preserve"> </w:t>
      </w:r>
      <w:r>
        <w:t xml:space="preserve">Demolition and reconstruction of a 4.2 m² section of the load-bearing exterior wall (east facade) using 200 mm concrete hollow blocks with M25 mortar, including steel reinforcement (Ø12 mm rebar) at 200 mm vertical spacing.</w:t>
      </w:r>
    </w:p>
    <w:p>
      <w:pPr>
        <w:numPr>
          <w:ilvl w:val="0"/>
          <w:numId w:val="1001"/>
        </w:numPr>
        <w:pStyle w:val="Compact"/>
      </w:pPr>
      <w:r>
        <w:rPr>
          <w:bCs/>
          <w:b/>
        </w:rPr>
        <w:t xml:space="preserve">Natural Stone Cladding:</w:t>
      </w:r>
      <w:r>
        <w:t xml:space="preserve"> </w:t>
      </w:r>
      <w:r>
        <w:t xml:space="preserve">Installation of 18 m² of Jerusalem Limestone (Yad HaShmona) cladding on the ground-floor entrance facade, including substrate preparation, adhesive application, and finishing joints (6 mm, color-matched).</w:t>
      </w:r>
    </w:p>
    <w:p>
      <w:pPr>
        <w:numPr>
          <w:ilvl w:val="0"/>
          <w:numId w:val="1001"/>
        </w:numPr>
        <w:pStyle w:val="Compact"/>
      </w:pPr>
      <w:r>
        <w:rPr>
          <w:bCs/>
          <w:b/>
        </w:rPr>
        <w:t xml:space="preserve">Interior Masonry Partition:</w:t>
      </w:r>
      <w:r>
        <w:t xml:space="preserve"> </w:t>
      </w:r>
      <w:r>
        <w:t xml:space="preserve">Construction of a new 12 m² interior partition wall using 100 mm lightweight masonry blocks, including plastering on both sides (12 mm cement-based plaster, two coats).</w:t>
      </w:r>
    </w:p>
    <w:p>
      <w:pPr>
        <w:numPr>
          <w:ilvl w:val="0"/>
          <w:numId w:val="1001"/>
        </w:numPr>
        <w:pStyle w:val="Compact"/>
      </w:pPr>
      <w:r>
        <w:rPr>
          <w:bCs/>
          <w:b/>
        </w:rPr>
        <w:t xml:space="preserve">Window Sill and Lintel Work:</w:t>
      </w:r>
      <w:r>
        <w:t xml:space="preserve"> </w:t>
      </w:r>
      <w:r>
        <w:t xml:space="preserve">Fabrication and installation of three (3) precast concrete window sills (1200 mm × 200 mm) and two (2) steel lintels (2500 mm span) with masonry infill.</w:t>
      </w:r>
    </w:p>
    <w:p>
      <w:pPr>
        <w:numPr>
          <w:ilvl w:val="0"/>
          <w:numId w:val="1001"/>
        </w:numPr>
        <w:pStyle w:val="Compact"/>
      </w:pPr>
      <w:r>
        <w:rPr>
          <w:bCs/>
          <w:b/>
        </w:rPr>
        <w:t xml:space="preserve">Driveway Paving:</w:t>
      </w:r>
      <w:r>
        <w:t xml:space="preserve"> </w:t>
      </w:r>
      <w:r>
        <w:t xml:space="preserve">Laying of 22 m² of interlocking concrete pavers (200 mm × 200 mm × 60 mm) on a 100 mm compacted gravel base, including 100 mm concrete curb edging along the perimeter.</w:t>
      </w:r>
    </w:p>
    <w:p>
      <w:pPr>
        <w:numPr>
          <w:ilvl w:val="0"/>
          <w:numId w:val="1001"/>
        </w:numPr>
        <w:pStyle w:val="Compact"/>
      </w:pPr>
      <w:r>
        <w:rPr>
          <w:bCs/>
          <w:b/>
        </w:rPr>
        <w:t xml:space="preserve">General Masonry Finishing:</w:t>
      </w:r>
      <w:r>
        <w:t xml:space="preserve"> </w:t>
      </w:r>
      <w:r>
        <w:t xml:space="preserve">Application of penetrating water-repellent treatment to all exposed masonry surfaces, cleaning of work area, and removal of all construction debris to the designated municipal disposal site in Tel Aviv.</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(ILS)</w:t>
            </w:r>
          </w:p>
        </w:tc>
        <w:tc>
          <w:tcPr/>
          <w:p>
            <w:pPr>
              <w:pStyle w:val="Compact"/>
              <w:jc w:val="left"/>
            </w:pPr>
            <w:r>
              <w:t xml:space="preserve">Total (ILS)</w:t>
            </w:r>
          </w:p>
        </w:tc>
      </w:tr>
      <w:tr>
        <w:tc>
          <w:tcPr/>
          <w:p>
            <w:pPr>
              <w:pStyle w:val="Compact"/>
              <w:jc w:val="left"/>
            </w:pPr>
            <w:r>
              <w:t xml:space="preserve">1</w:t>
            </w:r>
          </w:p>
        </w:tc>
        <w:tc>
          <w:tcPr/>
          <w:p>
            <w:pPr>
              <w:pStyle w:val="Compact"/>
              <w:jc w:val="left"/>
            </w:pPr>
            <w:r>
              <w:t xml:space="preserve">Structural masonry wall reconstruction (incl. materials, labor, reinforcement)</w:t>
            </w:r>
          </w:p>
        </w:tc>
        <w:tc>
          <w:tcPr/>
          <w:p>
            <w:pPr>
              <w:pStyle w:val="Compact"/>
              <w:jc w:val="left"/>
            </w:pPr>
            <w:r>
              <w:t xml:space="preserve">m²</w:t>
            </w:r>
          </w:p>
        </w:tc>
        <w:tc>
          <w:tcPr/>
          <w:p>
            <w:pPr>
              <w:pStyle w:val="Compact"/>
              <w:jc w:val="left"/>
            </w:pPr>
            <w:r>
              <w:t xml:space="preserve">4.2</w:t>
            </w:r>
          </w:p>
        </w:tc>
        <w:tc>
          <w:tcPr/>
          <w:p>
            <w:pPr>
              <w:pStyle w:val="Compact"/>
              <w:jc w:val="left"/>
            </w:pPr>
            <w:r>
              <w:t xml:space="preserve">1,850</w:t>
            </w:r>
          </w:p>
        </w:tc>
        <w:tc>
          <w:tcPr/>
          <w:p>
            <w:pPr>
              <w:pStyle w:val="Compact"/>
              <w:jc w:val="left"/>
            </w:pPr>
            <w:r>
              <w:t xml:space="preserve">7,770</w:t>
            </w:r>
          </w:p>
        </w:tc>
      </w:tr>
      <w:tr>
        <w:tc>
          <w:tcPr/>
          <w:p>
            <w:pPr>
              <w:pStyle w:val="Compact"/>
              <w:jc w:val="left"/>
            </w:pPr>
            <w:r>
              <w:t xml:space="preserve">2</w:t>
            </w:r>
          </w:p>
        </w:tc>
        <w:tc>
          <w:tcPr/>
          <w:p>
            <w:pPr>
              <w:pStyle w:val="Compact"/>
              <w:jc w:val="left"/>
            </w:pPr>
            <w:r>
              <w:t xml:space="preserve">Jerusalem Limestone cladding installation (incl. stone, adhesive, labor)</w:t>
            </w:r>
          </w:p>
        </w:tc>
        <w:tc>
          <w:tcPr/>
          <w:p>
            <w:pPr>
              <w:pStyle w:val="Compact"/>
              <w:jc w:val="left"/>
            </w:pPr>
            <w:r>
              <w:t xml:space="preserve">m²</w:t>
            </w:r>
          </w:p>
        </w:tc>
        <w:tc>
          <w:tcPr/>
          <w:p>
            <w:pPr>
              <w:pStyle w:val="Compact"/>
              <w:jc w:val="left"/>
            </w:pPr>
            <w:r>
              <w:t xml:space="preserve">18</w:t>
            </w:r>
          </w:p>
        </w:tc>
        <w:tc>
          <w:tcPr/>
          <w:p>
            <w:pPr>
              <w:pStyle w:val="Compact"/>
              <w:jc w:val="left"/>
            </w:pPr>
            <w:r>
              <w:t xml:space="preserve">2,400</w:t>
            </w:r>
          </w:p>
        </w:tc>
        <w:tc>
          <w:tcPr/>
          <w:p>
            <w:pPr>
              <w:pStyle w:val="Compact"/>
              <w:jc w:val="left"/>
            </w:pPr>
            <w:r>
              <w:t xml:space="preserve">43,200</w:t>
            </w:r>
          </w:p>
        </w:tc>
      </w:tr>
      <w:tr>
        <w:tc>
          <w:tcPr/>
          <w:p>
            <w:pPr>
              <w:pStyle w:val="Compact"/>
              <w:jc w:val="left"/>
            </w:pPr>
            <w:r>
              <w:t xml:space="preserve">3</w:t>
            </w:r>
          </w:p>
        </w:tc>
        <w:tc>
          <w:tcPr/>
          <w:p>
            <w:pPr>
              <w:pStyle w:val="Compact"/>
              <w:jc w:val="left"/>
            </w:pPr>
            <w:r>
              <w:t xml:space="preserve">Interior masonry partition with plastering (both sides)</w:t>
            </w:r>
          </w:p>
        </w:tc>
        <w:tc>
          <w:tcPr/>
          <w:p>
            <w:pPr>
              <w:pStyle w:val="Compact"/>
              <w:jc w:val="left"/>
            </w:pPr>
            <w:r>
              <w:t xml:space="preserve">m²</w:t>
            </w:r>
          </w:p>
        </w:tc>
        <w:tc>
          <w:tcPr/>
          <w:p>
            <w:pPr>
              <w:pStyle w:val="Compact"/>
              <w:jc w:val="left"/>
            </w:pPr>
            <w:r>
              <w:t xml:space="preserve">12</w:t>
            </w:r>
          </w:p>
        </w:tc>
        <w:tc>
          <w:tcPr/>
          <w:p>
            <w:pPr>
              <w:pStyle w:val="Compact"/>
              <w:jc w:val="left"/>
            </w:pPr>
            <w:r>
              <w:t xml:space="preserve">980</w:t>
            </w:r>
          </w:p>
        </w:tc>
        <w:tc>
          <w:tcPr/>
          <w:p>
            <w:pPr>
              <w:pStyle w:val="Compact"/>
              <w:jc w:val="left"/>
            </w:pPr>
            <w:r>
              <w:t xml:space="preserve">11,760</w:t>
            </w:r>
          </w:p>
        </w:tc>
      </w:tr>
      <w:tr>
        <w:tc>
          <w:tcPr/>
          <w:p>
            <w:pPr>
              <w:pStyle w:val="Compact"/>
              <w:jc w:val="left"/>
            </w:pPr>
            <w:r>
              <w:t xml:space="preserve">4</w:t>
            </w:r>
          </w:p>
        </w:tc>
        <w:tc>
          <w:tcPr/>
          <w:p>
            <w:pPr>
              <w:pStyle w:val="Compact"/>
              <w:jc w:val="left"/>
            </w:pPr>
            <w:r>
              <w:t xml:space="preserve">Precast concrete window sills (supply &amp; install)</w:t>
            </w:r>
          </w:p>
        </w:tc>
        <w:tc>
          <w:tcPr/>
          <w:p>
            <w:pPr>
              <w:pStyle w:val="Compact"/>
              <w:jc w:val="left"/>
            </w:pPr>
            <w:r>
              <w:t xml:space="preserve">pcs</w:t>
            </w:r>
          </w:p>
        </w:tc>
        <w:tc>
          <w:tcPr/>
          <w:p>
            <w:pPr>
              <w:pStyle w:val="Compact"/>
              <w:jc w:val="left"/>
            </w:pPr>
            <w:r>
              <w:t xml:space="preserve">3</w:t>
            </w:r>
          </w:p>
        </w:tc>
        <w:tc>
          <w:tcPr/>
          <w:p>
            <w:pPr>
              <w:pStyle w:val="Compact"/>
              <w:jc w:val="left"/>
            </w:pPr>
            <w:r>
              <w:t xml:space="preserve">1,250</w:t>
            </w:r>
          </w:p>
        </w:tc>
        <w:tc>
          <w:tcPr/>
          <w:p>
            <w:pPr>
              <w:pStyle w:val="Compact"/>
              <w:jc w:val="left"/>
            </w:pPr>
            <w:r>
              <w:t xml:space="preserve">3,750</w:t>
            </w:r>
          </w:p>
        </w:tc>
      </w:tr>
      <w:tr>
        <w:tc>
          <w:tcPr/>
          <w:p>
            <w:pPr>
              <w:pStyle w:val="Compact"/>
              <w:jc w:val="left"/>
            </w:pPr>
            <w:r>
              <w:t xml:space="preserve">5</w:t>
            </w:r>
          </w:p>
        </w:tc>
        <w:tc>
          <w:tcPr/>
          <w:p>
            <w:pPr>
              <w:pStyle w:val="Compact"/>
              <w:jc w:val="left"/>
            </w:pPr>
            <w:r>
              <w:t xml:space="preserve">Steel lintels with masonry infill (supply &amp; install)</w:t>
            </w:r>
          </w:p>
        </w:tc>
        <w:tc>
          <w:tcPr/>
          <w:p>
            <w:pPr>
              <w:pStyle w:val="Compact"/>
              <w:jc w:val="left"/>
            </w:pPr>
            <w:r>
              <w:t xml:space="preserve">pcs</w:t>
            </w:r>
          </w:p>
        </w:tc>
        <w:tc>
          <w:tcPr/>
          <w:p>
            <w:pPr>
              <w:pStyle w:val="Compact"/>
              <w:jc w:val="left"/>
            </w:pPr>
            <w:r>
              <w:t xml:space="preserve">2</w:t>
            </w:r>
          </w:p>
        </w:tc>
        <w:tc>
          <w:tcPr/>
          <w:p>
            <w:pPr>
              <w:pStyle w:val="Compact"/>
              <w:jc w:val="left"/>
            </w:pPr>
            <w:r>
              <w:t xml:space="preserve">2,100</w:t>
            </w:r>
          </w:p>
        </w:tc>
        <w:tc>
          <w:tcPr/>
          <w:p>
            <w:pPr>
              <w:pStyle w:val="Compact"/>
              <w:jc w:val="left"/>
            </w:pPr>
            <w:r>
              <w:t xml:space="preserve">4,200</w:t>
            </w:r>
          </w:p>
        </w:tc>
      </w:tr>
      <w:tr>
        <w:tc>
          <w:tcPr/>
          <w:p>
            <w:pPr>
              <w:pStyle w:val="Compact"/>
              <w:jc w:val="left"/>
            </w:pPr>
            <w:r>
              <w:t xml:space="preserve">6</w:t>
            </w:r>
          </w:p>
        </w:tc>
        <w:tc>
          <w:tcPr/>
          <w:p>
            <w:pPr>
              <w:pStyle w:val="Compact"/>
              <w:jc w:val="left"/>
            </w:pPr>
            <w:r>
              <w:t xml:space="preserve">Interlocking concrete paver driveway (incl. base, edging, labor)</w:t>
            </w:r>
          </w:p>
        </w:tc>
        <w:tc>
          <w:tcPr/>
          <w:p>
            <w:pPr>
              <w:pStyle w:val="Compact"/>
              <w:jc w:val="left"/>
            </w:pPr>
            <w:r>
              <w:t xml:space="preserve">m²</w:t>
            </w:r>
          </w:p>
        </w:tc>
        <w:tc>
          <w:tcPr/>
          <w:p>
            <w:pPr>
              <w:pStyle w:val="Compact"/>
              <w:jc w:val="left"/>
            </w:pPr>
            <w:r>
              <w:t xml:space="preserve">22</w:t>
            </w:r>
          </w:p>
        </w:tc>
        <w:tc>
          <w:tcPr/>
          <w:p>
            <w:pPr>
              <w:pStyle w:val="Compact"/>
              <w:jc w:val="left"/>
            </w:pPr>
            <w:r>
              <w:t xml:space="preserve">720</w:t>
            </w:r>
          </w:p>
        </w:tc>
        <w:tc>
          <w:tcPr/>
          <w:p>
            <w:pPr>
              <w:pStyle w:val="Compact"/>
              <w:jc w:val="left"/>
            </w:pPr>
            <w:r>
              <w:t xml:space="preserve">15,840</w:t>
            </w:r>
          </w:p>
        </w:tc>
      </w:tr>
      <w:tr>
        <w:tc>
          <w:tcPr/>
          <w:p>
            <w:pPr>
              <w:pStyle w:val="Compact"/>
              <w:jc w:val="left"/>
            </w:pPr>
            <w:r>
              <w:t xml:space="preserve">7</w:t>
            </w:r>
          </w:p>
        </w:tc>
        <w:tc>
          <w:tcPr/>
          <w:p>
            <w:pPr>
              <w:pStyle w:val="Compact"/>
              <w:jc w:val="left"/>
            </w:pPr>
            <w:r>
              <w:t xml:space="preserve">Water-repellent treatment, site cleanup, debris removal</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4,500</w:t>
            </w:r>
          </w:p>
        </w:tc>
        <w:tc>
          <w:tcPr/>
          <w:p>
            <w:pPr>
              <w:pStyle w:val="Compact"/>
              <w:jc w:val="left"/>
            </w:pPr>
            <w:r>
              <w:t xml:space="preserve">4,500</w:t>
            </w:r>
          </w:p>
        </w:tc>
      </w:tr>
      <w:tr>
        <w:tc>
          <w:tcPr/>
          <w:p>
            <w:pPr>
              <w:pStyle w:val="Compact"/>
              <w:jc w:val="left"/>
            </w:pPr>
            <w:r>
              <w:t xml:space="preserve">8</w:t>
            </w:r>
          </w:p>
        </w:tc>
        <w:tc>
          <w:tcPr/>
          <w:p>
            <w:pPr>
              <w:pStyle w:val="Compact"/>
              <w:jc w:val="left"/>
            </w:pPr>
            <w:r>
              <w:t xml:space="preserve">Project supervision, engineering sign-off, municipal permits (Tel Aviv-Yafo)</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6,800</w:t>
            </w:r>
          </w:p>
        </w:tc>
        <w:tc>
          <w:tcPr/>
          <w:p>
            <w:pPr>
              <w:pStyle w:val="Compact"/>
              <w:jc w:val="left"/>
            </w:pPr>
            <w:r>
              <w:t xml:space="preserve">6,800</w:t>
            </w:r>
          </w:p>
        </w:tc>
      </w:tr>
      <w:tr>
        <w:tc>
          <w:tcPr>
            <w:gridSpan w:val="5"/>
          </w:tcPr>
          <w:p>
            <w:pPr>
              <w:pStyle w:val="Compact"/>
              <w:jc w:val="left"/>
            </w:pPr>
            <w:r>
              <w:t xml:space="preserve">Subtotal (excl. VAT)</w:t>
            </w:r>
          </w:p>
        </w:tc>
        <w:tc>
          <w:tcPr/>
          <w:p>
            <w:pPr>
              <w:pStyle w:val="Compact"/>
              <w:jc w:val="left"/>
            </w:pPr>
            <w:r>
              <w:t xml:space="preserve">97,820</w:t>
            </w:r>
          </w:p>
        </w:tc>
      </w:tr>
      <w:tr>
        <w:tc>
          <w:tcPr>
            <w:gridSpan w:val="5"/>
          </w:tcPr>
          <w:p>
            <w:pPr>
              <w:pStyle w:val="Compact"/>
              <w:jc w:val="left"/>
            </w:pPr>
            <w:r>
              <w:t xml:space="preserve">VAT @ 18% (Israel)</w:t>
            </w:r>
          </w:p>
        </w:tc>
        <w:tc>
          <w:tcPr/>
          <w:p>
            <w:pPr>
              <w:pStyle w:val="Compact"/>
              <w:jc w:val="left"/>
            </w:pPr>
            <w:r>
              <w:t xml:space="preserve">17,608</w:t>
            </w:r>
          </w:p>
        </w:tc>
      </w:tr>
      <w:tr>
        <w:tc>
          <w:tcPr>
            <w:gridSpan w:val="5"/>
          </w:tcPr>
          <w:p>
            <w:pPr>
              <w:pStyle w:val="Compact"/>
              <w:jc w:val="left"/>
            </w:pPr>
            <w:r>
              <w:rPr>
                <w:bCs/>
                <w:b/>
              </w:rPr>
              <w:t xml:space="preserve">GRAND TOTAL (incl. VAT)</w:t>
            </w:r>
          </w:p>
        </w:tc>
        <w:tc>
          <w:tcPr/>
          <w:p>
            <w:pPr>
              <w:pStyle w:val="Compact"/>
              <w:jc w:val="left"/>
            </w:pPr>
            <w:r>
              <w:rPr>
                <w:bCs/>
                <w:b/>
              </w:rPr>
              <w:t xml:space="preserve">115,428 ILS</w:t>
            </w:r>
          </w:p>
        </w:tc>
      </w:tr>
    </w:tbl>
    <w:bookmarkEnd w:id="23"/>
    <w:bookmarkStart w:id="24" w:name="payment-terms"/>
    <w:p>
      <w:pPr>
        <w:pStyle w:val="Heading2"/>
      </w:pPr>
      <w:r>
        <w:t xml:space="preserve">4. Payment Terms</w:t>
      </w:r>
    </w:p>
    <w:p>
      <w:pPr>
        <w:numPr>
          <w:ilvl w:val="0"/>
          <w:numId w:val="1002"/>
        </w:numPr>
        <w:pStyle w:val="Compact"/>
      </w:pPr>
      <w:r>
        <w:rPr>
          <w:bCs/>
          <w:b/>
        </w:rPr>
        <w:t xml:space="preserve">30% advance payment</w:t>
      </w:r>
      <w:r>
        <w:t xml:space="preserve"> </w:t>
      </w:r>
      <w:r>
        <w:t xml:space="preserve">(ILS 34,628) due upon signing of this Quotation Estimate and issuance of the building permit by the Tel Aviv-Yafo Municipality.</w:t>
      </w:r>
    </w:p>
    <w:p>
      <w:pPr>
        <w:numPr>
          <w:ilvl w:val="0"/>
          <w:numId w:val="1002"/>
        </w:numPr>
        <w:pStyle w:val="Compact"/>
      </w:pPr>
      <w:r>
        <w:rPr>
          <w:bCs/>
          <w:b/>
        </w:rPr>
        <w:t xml:space="preserve">40% progress payment</w:t>
      </w:r>
      <w:r>
        <w:t xml:space="preserve"> </w:t>
      </w:r>
      <w:r>
        <w:t xml:space="preserve">(ILS 46,171) due upon completion of all structural masonry and stone cladding works (Items 1–5).</w:t>
      </w:r>
    </w:p>
    <w:p>
      <w:pPr>
        <w:numPr>
          <w:ilvl w:val="0"/>
          <w:numId w:val="1002"/>
        </w:numPr>
        <w:pStyle w:val="Compact"/>
      </w:pPr>
      <w:r>
        <w:rPr>
          <w:bCs/>
          <w:b/>
        </w:rPr>
        <w:t xml:space="preserve">30% final payment</w:t>
      </w:r>
      <w:r>
        <w:t xml:space="preserve"> </w:t>
      </w:r>
      <w:r>
        <w:t xml:space="preserve">(ILS 34,629) due upon final handover, client sign-off, and submission of the as-built documentation to the municipal authority.</w:t>
      </w:r>
    </w:p>
    <w:p>
      <w:pPr>
        <w:numPr>
          <w:ilvl w:val="0"/>
          <w:numId w:val="1002"/>
        </w:numPr>
        <w:pStyle w:val="Compact"/>
      </w:pPr>
      <w:r>
        <w:t xml:space="preserve">All payments to be made via bank transfer to Mason &amp; Stonework Services Ltd., Bank Leumi, Branch Tel Aviv, Account No. 001-4455-6677.</w:t>
      </w:r>
    </w:p>
    <w:bookmarkEnd w:id="24"/>
    <w:bookmarkStart w:id="25" w:name="project-timeline"/>
    <w:p>
      <w:pPr>
        <w:pStyle w:val="Heading2"/>
      </w:pPr>
      <w:r>
        <w:t xml:space="preserve">5. Project Timeline</w:t>
      </w:r>
    </w:p>
    <w:p>
      <w:pPr>
        <w:pStyle w:val="FirstParagraph"/>
      </w:pPr>
      <w:r>
        <w:t xml:space="preserve">Subject to permit approval, the estimated duration of all masonry works is</w:t>
      </w:r>
      <w:r>
        <w:t xml:space="preserve"> </w:t>
      </w:r>
      <w:r>
        <w:rPr>
          <w:bCs/>
          <w:b/>
        </w:rPr>
        <w:t xml:space="preserve">four (4) calendar weeks</w:t>
      </w:r>
      <w:r>
        <w:t xml:space="preserve"> </w:t>
      </w:r>
      <w:r>
        <w:t xml:space="preserve">from the date of site mobilization. Work hours will be Monday through Thursday, 07:00–16:00, and Friday 07:00–13:00, in compliance with Tel Aviv municipal noise and construction regulations. No work will be performed on Shabbat (Friday evening to Saturday evening) or Israeli public holidays.</w:t>
      </w:r>
    </w:p>
    <w:bookmarkEnd w:id="25"/>
    <w:bookmarkStart w:id="26" w:name="terms-and-conditions"/>
    <w:p>
      <w:pPr>
        <w:pStyle w:val="Heading2"/>
      </w:pPr>
      <w:r>
        <w:t xml:space="preserve">6. Terms and Conditions</w:t>
      </w:r>
    </w:p>
    <w:p>
      <w:pPr>
        <w:numPr>
          <w:ilvl w:val="0"/>
          <w:numId w:val="1003"/>
        </w:numPr>
        <w:pStyle w:val="Compact"/>
      </w:pPr>
      <w:r>
        <w:t xml:space="preserve">This Quotation Estimate is valid for thirty (30) days from the date of issue. Prices are subject to revision upon expiration due to material cost fluctuations in the Israeli market.</w:t>
      </w:r>
    </w:p>
    <w:p>
      <w:pPr>
        <w:numPr>
          <w:ilvl w:val="0"/>
          <w:numId w:val="1003"/>
        </w:numPr>
        <w:pStyle w:val="Compact"/>
      </w:pPr>
      <w:r>
        <w:t xml:space="preserve">All masonry work shall be performed by a licensed Mason holding a valid Israeli construction trade license (Rishuyot Me'uchal) and shall be supervised by a registered structural engineer.</w:t>
      </w:r>
    </w:p>
    <w:p>
      <w:pPr>
        <w:numPr>
          <w:ilvl w:val="0"/>
          <w:numId w:val="1003"/>
        </w:numPr>
        <w:pStyle w:val="Compact"/>
      </w:pPr>
      <w:r>
        <w:t xml:space="preserve">The contractor shall provide a</w:t>
      </w:r>
      <w:r>
        <w:t xml:space="preserve"> </w:t>
      </w:r>
      <w:r>
        <w:rPr>
          <w:bCs/>
          <w:b/>
        </w:rPr>
        <w:t xml:space="preserve">five (5) year structural warranty</w:t>
      </w:r>
      <w:r>
        <w:t xml:space="preserve"> </w:t>
      </w:r>
      <w:r>
        <w:t xml:space="preserve">and a</w:t>
      </w:r>
      <w:r>
        <w:t xml:space="preserve"> </w:t>
      </w:r>
      <w:r>
        <w:rPr>
          <w:bCs/>
          <w:b/>
        </w:rPr>
        <w:t xml:space="preserve">two (2) year workmanship warranty</w:t>
      </w:r>
      <w:r>
        <w:t xml:space="preserve"> </w:t>
      </w:r>
      <w:r>
        <w:t xml:space="preserve">on all masonry and stonework elements, in accordance with Israeli consumer protection law.</w:t>
      </w:r>
    </w:p>
    <w:p>
      <w:pPr>
        <w:numPr>
          <w:ilvl w:val="0"/>
          <w:numId w:val="1003"/>
        </w:numPr>
        <w:pStyle w:val="Compact"/>
      </w:pPr>
      <w:r>
        <w:t xml:space="preserve">Any additional work not explicitly listed in this Quotation Estimate shall be subject to a separate written amendment and mutual agreement prior to execution.</w:t>
      </w:r>
    </w:p>
    <w:p>
      <w:pPr>
        <w:numPr>
          <w:ilvl w:val="0"/>
          <w:numId w:val="1003"/>
        </w:numPr>
        <w:pStyle w:val="Compact"/>
      </w:pPr>
      <w:r>
        <w:t xml:space="preserve">The client is responsible for obtaining all necessary neighbor consents and HOA (building association) approvals required under Tel Aviv municipal bylaws before work commences.</w:t>
      </w:r>
    </w:p>
    <w:p>
      <w:pPr>
        <w:numPr>
          <w:ilvl w:val="0"/>
          <w:numId w:val="1003"/>
        </w:numPr>
        <w:pStyle w:val="Compact"/>
      </w:pPr>
      <w:r>
        <w:t xml:space="preserve">In the event of force majeure (including but not limited to extreme weather, government-mandated shutdowns, or civil unrest), the project timeline shall be extended accordingly without penalty to either party.</w:t>
      </w:r>
    </w:p>
    <w:p>
      <w:pPr>
        <w:numPr>
          <w:ilvl w:val="0"/>
          <w:numId w:val="1003"/>
        </w:numPr>
        <w:pStyle w:val="Compact"/>
      </w:pPr>
      <w:r>
        <w:t xml:space="preserve">All disputes arising from this Quotation Estimate shall be resolved under the jurisdiction of the Tel Aviv District Court, Israel.</w:t>
      </w:r>
    </w:p>
    <w:bookmarkEnd w:id="26"/>
    <w:bookmarkStart w:id="27" w:name="acceptance-and-authorization"/>
    <w:p>
      <w:pPr>
        <w:pStyle w:val="Heading2"/>
      </w:pPr>
      <w:r>
        <w:t xml:space="preserve">7. Acceptance and Authorization</w:t>
      </w:r>
    </w:p>
    <w:p>
      <w:pPr>
        <w:pStyle w:val="FirstParagraph"/>
      </w:pPr>
      <w:r>
        <w:t xml:space="preserve">By signing below, the client acknowledges receipt of this Quotation Estimate, confirms the scope of masonry work described herein, and authorizes Mason &amp; Stonework Services Ltd. to proceed with the project in Tel Aviv upon fulfillment of the advance payment and permit conditions.</w:t>
      </w:r>
    </w:p>
    <w:p>
      <w:pPr>
        <w:pStyle w:val="BodyText"/>
      </w:pPr>
      <w:r>
        <w:rPr>
          <w:bCs/>
          <w:b/>
        </w:rPr>
        <w:t xml:space="preserve">For Mason &amp; Stonework Services Ltd.</w:t>
      </w:r>
      <w:r>
        <w:br/>
      </w:r>
      <w:r>
        <w:t xml:space="preserve">Name: Yossi Katz, Project Manager</w:t>
      </w:r>
      <w:r>
        <w:br/>
      </w:r>
      <w:r>
        <w:t xml:space="preserve">Date: _______________</w:t>
      </w:r>
    </w:p>
    <w:p>
      <w:pPr>
        <w:pStyle w:val="BodyText"/>
      </w:pPr>
      <w:r>
        <w:rPr>
          <w:bCs/>
          <w:b/>
        </w:rPr>
        <w:t xml:space="preserve">Client (Mr. David Ben-Ari)</w:t>
      </w:r>
      <w:r>
        <w:br/>
      </w:r>
      <w:r>
        <w:t xml:space="preserve">Name: _________________________</w:t>
      </w:r>
      <w:r>
        <w:br/>
      </w:r>
      <w:r>
        <w:t xml:space="preserve">Date: _______________</w:t>
      </w:r>
    </w:p>
    <w:p>
      <w:pPr>
        <w:pStyle w:val="BodyText"/>
      </w:pPr>
      <w:r>
        <w:t xml:space="preserve">This Quotation Estimate document (QE-TLV-2025-0347) is the property of Mason &amp; Stonework Services Ltd. and is issued exclusively for the project located in Israel, Tel Aviv. Unauthorized reproduction or distribution is prohibited. All prices are quoted in Israeli New Shekels (ILS) and include all applicable local taxes unless otherwise stated. For inquiries or revisions, please contact our Tel Aviv office during business hours.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Mason Services - Israel Tel Aviv</dc:title>
  <dc:creator/>
  <dc:language>en</dc:language>
  <cp:keywords/>
  <dcterms:created xsi:type="dcterms:W3CDTF">2026-10-10T06:49:01Z</dcterms:created>
  <dcterms:modified xsi:type="dcterms:W3CDTF">2026-10-10T06:49:01Z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