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Mason Services — Italy Naples</w:t>
      </w:r>
    </w:p>
    <w:p>
      <w:pPr>
        <w:pStyle w:val="BodyText"/>
      </w:pPr>
      <w:r>
        <w:t xml:space="preserve">Document Reference: QTE-NAP-2025-0472</w:t>
      </w:r>
    </w:p>
    <w:bookmarkEnd w:id="20"/>
    <w:bookmarkStart w:id="21" w:name="prepared-by"/>
    <w:p>
      <w:pPr>
        <w:pStyle w:val="Heading3"/>
      </w:pPr>
      <w:r>
        <w:t xml:space="preserve">Prepared By</w:t>
      </w:r>
    </w:p>
    <w:p>
      <w:pPr>
        <w:pStyle w:val="FirstParagraph"/>
      </w:pPr>
      <w:r>
        <w:rPr>
          <w:bCs/>
          <w:b/>
        </w:rPr>
        <w:t xml:space="preserve">Studio Marmo &amp; Pietra S.r.l.</w:t>
      </w:r>
    </w:p>
    <w:p>
      <w:pPr>
        <w:pStyle w:val="BodyText"/>
      </w:pPr>
      <w:r>
        <w:t xml:space="preserve">Via Toledo 142, 80132 Naples (NA), Italy</w:t>
      </w:r>
    </w:p>
    <w:p>
      <w:pPr>
        <w:pStyle w:val="BodyText"/>
      </w:pPr>
      <w:r>
        <w:t xml:space="preserve">Tel: +39 081 555 2347</w:t>
      </w:r>
    </w:p>
    <w:p>
      <w:pPr>
        <w:pStyle w:val="BodyText"/>
      </w:pPr>
      <w:r>
        <w:t xml:space="preserve">Email: info@studiomarmopietra.it</w:t>
      </w:r>
    </w:p>
    <w:p>
      <w:pPr>
        <w:pStyle w:val="BodyText"/>
      </w:pPr>
      <w:r>
        <w:t xml:space="preserve">VAT: IT02345678901</w:t>
      </w:r>
    </w:p>
    <w:bookmarkEnd w:id="21"/>
    <w:bookmarkStart w:id="22" w:name="prepared-for"/>
    <w:p>
      <w:pPr>
        <w:pStyle w:val="Heading3"/>
      </w:pPr>
      <w:r>
        <w:t xml:space="preserve">Prepared For</w:t>
      </w:r>
    </w:p>
    <w:p>
      <w:pPr>
        <w:pStyle w:val="FirstParagraph"/>
      </w:pPr>
      <w:r>
        <w:rPr>
          <w:bCs/>
          <w:b/>
        </w:rPr>
        <w:t xml:space="preserve">Ing. Alessandro De Luca</w:t>
      </w:r>
    </w:p>
    <w:p>
      <w:pPr>
        <w:pStyle w:val="BodyText"/>
      </w:pPr>
      <w:r>
        <w:t xml:space="preserve">Via Chiaia 88, 80121 Naples (NA), Italy</w:t>
      </w:r>
    </w:p>
    <w:p>
      <w:pPr>
        <w:pStyle w:val="BodyText"/>
      </w:pPr>
      <w:r>
        <w:t xml:space="preserve">Tel: +39 333 876 5432</w:t>
      </w:r>
    </w:p>
    <w:p>
      <w:pPr>
        <w:pStyle w:val="BodyText"/>
      </w:pPr>
      <w:r>
        <w:t xml:space="preserve">Email: a.deluca@architettonapoli.it</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Date: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60 days from date of issue (until 13 August 2025)</w:t>
            </w:r>
          </w:p>
        </w:tc>
      </w:tr>
      <w:tr>
        <w:tc>
          <w:tcPr/>
          <w:p>
            <w:pPr>
              <w:pStyle w:val="Compact"/>
              <w:jc w:val="left"/>
            </w:pPr>
            <w:r>
              <w:t xml:space="preserve">Project Location:</w:t>
            </w:r>
          </w:p>
        </w:tc>
        <w:tc>
          <w:tcPr/>
          <w:p>
            <w:pPr>
              <w:pStyle w:val="Compact"/>
              <w:jc w:val="left"/>
            </w:pPr>
            <w:r>
              <w:t xml:space="preserve">Italy Naples — Historic Centre, Quartieri Spagnoli</w:t>
            </w:r>
          </w:p>
        </w:tc>
      </w:tr>
      <w:tr>
        <w:tc>
          <w:tcPr/>
          <w:p>
            <w:pPr>
              <w:pStyle w:val="Compact"/>
              <w:jc w:val="left"/>
            </w:pPr>
            <w:r>
              <w:t xml:space="preserve">Project Reference:</w:t>
            </w:r>
          </w:p>
        </w:tc>
        <w:tc>
          <w:tcPr/>
          <w:p>
            <w:pPr>
              <w:pStyle w:val="Compact"/>
              <w:jc w:val="left"/>
            </w:pPr>
            <w:r>
              <w:t xml:space="preserve">Restoration of Mason Facade &amp; Interior Stonework</w:t>
            </w:r>
          </w:p>
        </w:tc>
      </w:tr>
      <w:tr>
        <w:tc>
          <w:tcPr/>
          <w:p>
            <w:pPr>
              <w:pStyle w:val="Compact"/>
              <w:jc w:val="left"/>
            </w:pPr>
            <w:r>
              <w:t xml:space="preserve">Currency:</w:t>
            </w:r>
          </w:p>
        </w:tc>
        <w:tc>
          <w:tcPr/>
          <w:p>
            <w:pPr>
              <w:pStyle w:val="Compact"/>
              <w:jc w:val="left"/>
            </w:pPr>
            <w:r>
              <w:t xml:space="preserve">Euro (EUR)</w:t>
            </w:r>
          </w:p>
        </w:tc>
      </w:tr>
    </w:tbl>
    <w:bookmarkStart w:id="23" w:name="scope-of-mason-work"/>
    <w:p>
      <w:pPr>
        <w:pStyle w:val="Heading2"/>
      </w:pPr>
      <w:r>
        <w:t xml:space="preserve">1. Scope of Mason Work</w:t>
      </w:r>
    </w:p>
    <w:p>
      <w:pPr>
        <w:pStyle w:val="FirstParagraph"/>
      </w:pPr>
      <w:r>
        <w:t xml:space="preserve">This</w:t>
      </w:r>
      <w:r>
        <w:t xml:space="preserve"> </w:t>
      </w:r>
      <w:r>
        <w:t xml:space="preserve">Quotation Estimate</w:t>
      </w:r>
      <w:r>
        <w:t xml:space="preserve"> </w:t>
      </w:r>
      <w:r>
        <w:t xml:space="preserve">is issued by Studio Marmo &amp; Pietra S.r.l. to provide a comprehensive cost breakdown for all</w:t>
      </w:r>
      <w:r>
        <w:t xml:space="preserve"> </w:t>
      </w:r>
      <w:r>
        <w:t xml:space="preserve">Mason</w:t>
      </w:r>
      <w:r>
        <w:t xml:space="preserve"> </w:t>
      </w:r>
      <w:r>
        <w:t xml:space="preserve">services required for the restoration and renovation project located in the historic centre of</w:t>
      </w:r>
      <w:r>
        <w:t xml:space="preserve"> </w:t>
      </w:r>
      <w:r>
        <w:t xml:space="preserve">Italy Naples</w:t>
      </w:r>
      <w:r>
        <w:t xml:space="preserve">. The project involves the careful restoration of a 19th-century residential building, requiring skilled masonry work in accordance with the heritage conservation regulations of the Soprintendenza per i Beni Architettonici e Paesaggistici di Napoli.</w:t>
      </w:r>
    </w:p>
    <w:p>
      <w:pPr>
        <w:numPr>
          <w:ilvl w:val="0"/>
          <w:numId w:val="1001"/>
        </w:numPr>
        <w:pStyle w:val="Compact"/>
      </w:pPr>
      <w:r>
        <w:rPr>
          <w:bCs/>
          <w:b/>
        </w:rPr>
        <w:t xml:space="preserve">Facade Mason Restoration:</w:t>
      </w:r>
      <w:r>
        <w:t xml:space="preserve"> </w:t>
      </w:r>
      <w:r>
        <w:t xml:space="preserve">Removal of deteriorated tuff stone (tufo giallo napoletano) from the ground and first-floor facades; cleaning of existing masonry surfaces using approved conservation methods; replacement of 47 damaged stone blocks with matching tuff quarried from the Monti di Pozzuoli region; repointing of all mortar joints using traditional lime-based mortar (malta di calce) to ensure historical authenticity.</w:t>
      </w:r>
    </w:p>
    <w:p>
      <w:pPr>
        <w:numPr>
          <w:ilvl w:val="0"/>
          <w:numId w:val="1001"/>
        </w:numPr>
        <w:pStyle w:val="Compact"/>
      </w:pPr>
      <w:r>
        <w:rPr>
          <w:bCs/>
          <w:b/>
        </w:rPr>
        <w:t xml:space="preserve">Interior Mason Work:</w:t>
      </w:r>
      <w:r>
        <w:t xml:space="preserve"> </w:t>
      </w:r>
      <w:r>
        <w:t xml:space="preserve">Reconstruction of two collapsed interior load-bearing masonry walls in the basement level; installation of new stone lintels above three window openings on the second floor; restoration of the original stone staircase in the main entrance hall, including replacement of 12 worn treads and 4 newel posts.</w:t>
      </w:r>
    </w:p>
    <w:p>
      <w:pPr>
        <w:numPr>
          <w:ilvl w:val="0"/>
          <w:numId w:val="1001"/>
        </w:numPr>
        <w:pStyle w:val="Compact"/>
      </w:pPr>
      <w:r>
        <w:rPr>
          <w:bCs/>
          <w:b/>
        </w:rPr>
        <w:t xml:space="preserve">Mason Finishing &amp; Detailing:</w:t>
      </w:r>
      <w:r>
        <w:t xml:space="preserve"> </w:t>
      </w:r>
      <w:r>
        <w:t xml:space="preserve">Hand-carving of decorative stone cornices along the roofline (approximately 34 linear metres); restoration of the stone balustrade on the main balcony; creation of a new stone threshold and door frame for the principal entrance; application of protective stone consolidant to all exposed masonry surfaces.</w:t>
      </w:r>
    </w:p>
    <w:p>
      <w:pPr>
        <w:numPr>
          <w:ilvl w:val="0"/>
          <w:numId w:val="1001"/>
        </w:numPr>
        <w:pStyle w:val="Compact"/>
      </w:pPr>
      <w:r>
        <w:rPr>
          <w:bCs/>
          <w:b/>
        </w:rPr>
        <w:t xml:space="preserve">Site Management &amp; Compliance:</w:t>
      </w:r>
      <w:r>
        <w:t xml:space="preserve"> </w:t>
      </w:r>
      <w:r>
        <w:t xml:space="preserve">Full coordination with the local Soprintendenza authorities in Italy Naples; daily site supervision by a certified master mason; waste removal and disposal in compliance with regional environmental regulations; provision of all scaffolding, safety equipment, and temporary protective coverings.</w:t>
      </w:r>
    </w:p>
    <w:bookmarkEnd w:id="23"/>
    <w:bookmarkStart w:id="24"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Removal and disposal of deteriorated tuff masonry (facade)</w:t>
            </w:r>
          </w:p>
        </w:tc>
        <w:tc>
          <w:tcPr/>
          <w:p>
            <w:pPr>
              <w:pStyle w:val="Compact"/>
              <w:jc w:val="left"/>
            </w:pPr>
            <w:r>
              <w:t xml:space="preserve">m³</w:t>
            </w:r>
          </w:p>
        </w:tc>
        <w:tc>
          <w:tcPr/>
          <w:p>
            <w:pPr>
              <w:pStyle w:val="Compact"/>
              <w:jc w:val="left"/>
            </w:pPr>
            <w:r>
              <w:t xml:space="preserve">12.5</w:t>
            </w:r>
          </w:p>
        </w:tc>
        <w:tc>
          <w:tcPr/>
          <w:p>
            <w:pPr>
              <w:pStyle w:val="Compact"/>
              <w:jc w:val="left"/>
            </w:pPr>
            <w:r>
              <w:t xml:space="preserve">380.00</w:t>
            </w:r>
          </w:p>
        </w:tc>
        <w:tc>
          <w:tcPr/>
          <w:p>
            <w:pPr>
              <w:pStyle w:val="Compact"/>
              <w:jc w:val="left"/>
            </w:pPr>
            <w:r>
              <w:t xml:space="preserve">4,750.00</w:t>
            </w:r>
          </w:p>
        </w:tc>
      </w:tr>
      <w:tr>
        <w:tc>
          <w:tcPr/>
          <w:p>
            <w:pPr>
              <w:pStyle w:val="Compact"/>
              <w:jc w:val="left"/>
            </w:pPr>
            <w:r>
              <w:t xml:space="preserve">02</w:t>
            </w:r>
          </w:p>
        </w:tc>
        <w:tc>
          <w:tcPr/>
          <w:p>
            <w:pPr>
              <w:pStyle w:val="Compact"/>
              <w:jc w:val="left"/>
            </w:pPr>
            <w:r>
              <w:t xml:space="preserve">Supply and installation of new tuff stone blocks (quarried, cut, fitted)</w:t>
            </w:r>
          </w:p>
        </w:tc>
        <w:tc>
          <w:tcPr/>
          <w:p>
            <w:pPr>
              <w:pStyle w:val="Compact"/>
              <w:jc w:val="left"/>
            </w:pPr>
            <w:r>
              <w:t xml:space="preserve">pcs</w:t>
            </w:r>
          </w:p>
        </w:tc>
        <w:tc>
          <w:tcPr/>
          <w:p>
            <w:pPr>
              <w:pStyle w:val="Compact"/>
              <w:jc w:val="left"/>
            </w:pPr>
            <w:r>
              <w:t xml:space="preserve">47</w:t>
            </w:r>
          </w:p>
        </w:tc>
        <w:tc>
          <w:tcPr/>
          <w:p>
            <w:pPr>
              <w:pStyle w:val="Compact"/>
              <w:jc w:val="left"/>
            </w:pPr>
            <w:r>
              <w:t xml:space="preserve">620.00</w:t>
            </w:r>
          </w:p>
        </w:tc>
        <w:tc>
          <w:tcPr/>
          <w:p>
            <w:pPr>
              <w:pStyle w:val="Compact"/>
              <w:jc w:val="left"/>
            </w:pPr>
            <w:r>
              <w:t xml:space="preserve">29,140.00</w:t>
            </w:r>
          </w:p>
        </w:tc>
      </w:tr>
      <w:tr>
        <w:tc>
          <w:tcPr/>
          <w:p>
            <w:pPr>
              <w:pStyle w:val="Compact"/>
              <w:jc w:val="left"/>
            </w:pPr>
            <w:r>
              <w:t xml:space="preserve">03</w:t>
            </w:r>
          </w:p>
        </w:tc>
        <w:tc>
          <w:tcPr/>
          <w:p>
            <w:pPr>
              <w:pStyle w:val="Compact"/>
              <w:jc w:val="left"/>
            </w:pPr>
            <w:r>
              <w:t xml:space="preserve">Traditional lime mortar repointing of all masonry joints</w:t>
            </w:r>
          </w:p>
        </w:tc>
        <w:tc>
          <w:tcPr/>
          <w:p>
            <w:pPr>
              <w:pStyle w:val="Compact"/>
              <w:jc w:val="left"/>
            </w:pPr>
            <w:r>
              <w:t xml:space="preserve">m²</w:t>
            </w:r>
          </w:p>
        </w:tc>
        <w:tc>
          <w:tcPr/>
          <w:p>
            <w:pPr>
              <w:pStyle w:val="Compact"/>
              <w:jc w:val="left"/>
            </w:pPr>
            <w:r>
              <w:t xml:space="preserve">210</w:t>
            </w:r>
          </w:p>
        </w:tc>
        <w:tc>
          <w:tcPr/>
          <w:p>
            <w:pPr>
              <w:pStyle w:val="Compact"/>
              <w:jc w:val="left"/>
            </w:pPr>
            <w:r>
              <w:t xml:space="preserve">48.50</w:t>
            </w:r>
          </w:p>
        </w:tc>
        <w:tc>
          <w:tcPr/>
          <w:p>
            <w:pPr>
              <w:pStyle w:val="Compact"/>
              <w:jc w:val="left"/>
            </w:pPr>
            <w:r>
              <w:t xml:space="preserve">10,185.00</w:t>
            </w:r>
          </w:p>
        </w:tc>
      </w:tr>
      <w:tr>
        <w:tc>
          <w:tcPr/>
          <w:p>
            <w:pPr>
              <w:pStyle w:val="Compact"/>
              <w:jc w:val="left"/>
            </w:pPr>
            <w:r>
              <w:t xml:space="preserve">04</w:t>
            </w:r>
          </w:p>
        </w:tc>
        <w:tc>
          <w:tcPr/>
          <w:p>
            <w:pPr>
              <w:pStyle w:val="Compact"/>
              <w:jc w:val="left"/>
            </w:pPr>
            <w:r>
              <w:t xml:space="preserve">Reconstruction of interior load-bearing masonry walls (basement)</w:t>
            </w:r>
          </w:p>
        </w:tc>
        <w:tc>
          <w:tcPr/>
          <w:p>
            <w:pPr>
              <w:pStyle w:val="Compact"/>
              <w:jc w:val="left"/>
            </w:pPr>
            <w:r>
              <w:t xml:space="preserve">m³</w:t>
            </w:r>
          </w:p>
        </w:tc>
        <w:tc>
          <w:tcPr/>
          <w:p>
            <w:pPr>
              <w:pStyle w:val="Compact"/>
              <w:jc w:val="left"/>
            </w:pPr>
            <w:r>
              <w:t xml:space="preserve">8.2</w:t>
            </w:r>
          </w:p>
        </w:tc>
        <w:tc>
          <w:tcPr/>
          <w:p>
            <w:pPr>
              <w:pStyle w:val="Compact"/>
              <w:jc w:val="left"/>
            </w:pPr>
            <w:r>
              <w:t xml:space="preserve">540.00</w:t>
            </w:r>
          </w:p>
        </w:tc>
        <w:tc>
          <w:tcPr/>
          <w:p>
            <w:pPr>
              <w:pStyle w:val="Compact"/>
              <w:jc w:val="left"/>
            </w:pPr>
            <w:r>
              <w:t xml:space="preserve">4,428.00</w:t>
            </w:r>
          </w:p>
        </w:tc>
      </w:tr>
      <w:tr>
        <w:tc>
          <w:tcPr/>
          <w:p>
            <w:pPr>
              <w:pStyle w:val="Compact"/>
              <w:jc w:val="left"/>
            </w:pPr>
            <w:r>
              <w:t xml:space="preserve">05</w:t>
            </w:r>
          </w:p>
        </w:tc>
        <w:tc>
          <w:tcPr/>
          <w:p>
            <w:pPr>
              <w:pStyle w:val="Compact"/>
              <w:jc w:val="left"/>
            </w:pPr>
            <w:r>
              <w:t xml:space="preserve">Stone lintels — cutting, transport, and installation (3 units)</w:t>
            </w:r>
          </w:p>
        </w:tc>
        <w:tc>
          <w:tcPr/>
          <w:p>
            <w:pPr>
              <w:pStyle w:val="Compact"/>
              <w:jc w:val="left"/>
            </w:pPr>
            <w:r>
              <w:t xml:space="preserve">pcs</w:t>
            </w:r>
          </w:p>
        </w:tc>
        <w:tc>
          <w:tcPr/>
          <w:p>
            <w:pPr>
              <w:pStyle w:val="Compact"/>
              <w:jc w:val="left"/>
            </w:pPr>
            <w:r>
              <w:t xml:space="preserve">3</w:t>
            </w:r>
          </w:p>
        </w:tc>
        <w:tc>
          <w:tcPr/>
          <w:p>
            <w:pPr>
              <w:pStyle w:val="Compact"/>
              <w:jc w:val="left"/>
            </w:pPr>
            <w:r>
              <w:t xml:space="preserve">2,850.00</w:t>
            </w:r>
          </w:p>
        </w:tc>
        <w:tc>
          <w:tcPr/>
          <w:p>
            <w:pPr>
              <w:pStyle w:val="Compact"/>
              <w:jc w:val="left"/>
            </w:pPr>
            <w:r>
              <w:t xml:space="preserve">8,550.00</w:t>
            </w:r>
          </w:p>
        </w:tc>
      </w:tr>
      <w:tr>
        <w:tc>
          <w:tcPr/>
          <w:p>
            <w:pPr>
              <w:pStyle w:val="Compact"/>
              <w:jc w:val="left"/>
            </w:pPr>
            <w:r>
              <w:t xml:space="preserve">06</w:t>
            </w:r>
          </w:p>
        </w:tc>
        <w:tc>
          <w:tcPr/>
          <w:p>
            <w:pPr>
              <w:pStyle w:val="Compact"/>
              <w:jc w:val="left"/>
            </w:pPr>
            <w:r>
              <w:t xml:space="preserve">Stone staircase restoration (treads, newel posts, stringers)</w:t>
            </w:r>
          </w:p>
        </w:tc>
        <w:tc>
          <w:tcPr/>
          <w:p>
            <w:pPr>
              <w:pStyle w:val="Compact"/>
              <w:jc w:val="left"/>
            </w:pPr>
            <w:r>
              <w:t xml:space="preserve">lot</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r>
      <w:tr>
        <w:tc>
          <w:tcPr/>
          <w:p>
            <w:pPr>
              <w:pStyle w:val="Compact"/>
              <w:jc w:val="left"/>
            </w:pPr>
            <w:r>
              <w:t xml:space="preserve">07</w:t>
            </w:r>
          </w:p>
        </w:tc>
        <w:tc>
          <w:tcPr/>
          <w:p>
            <w:pPr>
              <w:pStyle w:val="Compact"/>
              <w:jc w:val="left"/>
            </w:pPr>
            <w:r>
              <w:t xml:space="preserve">Hand-carved decorative stone cornices (roofline)</w:t>
            </w:r>
          </w:p>
        </w:tc>
        <w:tc>
          <w:tcPr/>
          <w:p>
            <w:pPr>
              <w:pStyle w:val="Compact"/>
              <w:jc w:val="left"/>
            </w:pPr>
            <w:r>
              <w:t xml:space="preserve">ml</w:t>
            </w:r>
          </w:p>
        </w:tc>
        <w:tc>
          <w:tcPr/>
          <w:p>
            <w:pPr>
              <w:pStyle w:val="Compact"/>
              <w:jc w:val="left"/>
            </w:pPr>
            <w:r>
              <w:t xml:space="preserve">34</w:t>
            </w:r>
          </w:p>
        </w:tc>
        <w:tc>
          <w:tcPr/>
          <w:p>
            <w:pPr>
              <w:pStyle w:val="Compact"/>
              <w:jc w:val="left"/>
            </w:pPr>
            <w:r>
              <w:t xml:space="preserve">310.00</w:t>
            </w:r>
          </w:p>
        </w:tc>
        <w:tc>
          <w:tcPr/>
          <w:p>
            <w:pPr>
              <w:pStyle w:val="Compact"/>
              <w:jc w:val="left"/>
            </w:pPr>
            <w:r>
              <w:t xml:space="preserve">10,540.00</w:t>
            </w:r>
          </w:p>
        </w:tc>
      </w:tr>
      <w:tr>
        <w:tc>
          <w:tcPr/>
          <w:p>
            <w:pPr>
              <w:pStyle w:val="Compact"/>
              <w:jc w:val="left"/>
            </w:pPr>
            <w:r>
              <w:t xml:space="preserve">08</w:t>
            </w:r>
          </w:p>
        </w:tc>
        <w:tc>
          <w:tcPr/>
          <w:p>
            <w:pPr>
              <w:pStyle w:val="Compact"/>
              <w:jc w:val="left"/>
            </w:pPr>
            <w:r>
              <w:t xml:space="preserve">Balcony stone balustrade restoration</w:t>
            </w:r>
          </w:p>
        </w:tc>
        <w:tc>
          <w:tcPr/>
          <w:p>
            <w:pPr>
              <w:pStyle w:val="Compact"/>
              <w:jc w:val="left"/>
            </w:pPr>
            <w:r>
              <w:t xml:space="preserve">ml</w:t>
            </w:r>
          </w:p>
        </w:tc>
        <w:tc>
          <w:tcPr/>
          <w:p>
            <w:pPr>
              <w:pStyle w:val="Compact"/>
              <w:jc w:val="left"/>
            </w:pPr>
            <w:r>
              <w:t xml:space="preserve">6.8</w:t>
            </w:r>
          </w:p>
        </w:tc>
        <w:tc>
          <w:tcPr/>
          <w:p>
            <w:pPr>
              <w:pStyle w:val="Compact"/>
              <w:jc w:val="left"/>
            </w:pPr>
            <w:r>
              <w:t xml:space="preserve">420.00</w:t>
            </w:r>
          </w:p>
        </w:tc>
        <w:tc>
          <w:tcPr/>
          <w:p>
            <w:pPr>
              <w:pStyle w:val="Compact"/>
              <w:jc w:val="left"/>
            </w:pPr>
            <w:r>
              <w:t xml:space="preserve">2,856.00</w:t>
            </w:r>
          </w:p>
        </w:tc>
      </w:tr>
      <w:tr>
        <w:tc>
          <w:tcPr/>
          <w:p>
            <w:pPr>
              <w:pStyle w:val="Compact"/>
              <w:jc w:val="left"/>
            </w:pPr>
            <w:r>
              <w:t xml:space="preserve">09</w:t>
            </w:r>
          </w:p>
        </w:tc>
        <w:tc>
          <w:tcPr/>
          <w:p>
            <w:pPr>
              <w:pStyle w:val="Compact"/>
              <w:jc w:val="left"/>
            </w:pPr>
            <w:r>
              <w:t xml:space="preserve">New stone threshold and entrance door frame</w:t>
            </w:r>
          </w:p>
        </w:tc>
        <w:tc>
          <w:tcPr/>
          <w:p>
            <w:pPr>
              <w:pStyle w:val="Compact"/>
              <w:jc w:val="left"/>
            </w:pPr>
            <w:r>
              <w:t xml:space="preserve">lot</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10</w:t>
            </w:r>
          </w:p>
        </w:tc>
        <w:tc>
          <w:tcPr/>
          <w:p>
            <w:pPr>
              <w:pStyle w:val="Compact"/>
              <w:jc w:val="left"/>
            </w:pPr>
            <w:r>
              <w:t xml:space="preserve">Protective stone consolidant application (all exposed masonry)</w:t>
            </w:r>
          </w:p>
        </w:tc>
        <w:tc>
          <w:tcPr/>
          <w:p>
            <w:pPr>
              <w:pStyle w:val="Compact"/>
              <w:jc w:val="left"/>
            </w:pPr>
            <w:r>
              <w:t xml:space="preserve">m²</w:t>
            </w:r>
          </w:p>
        </w:tc>
        <w:tc>
          <w:tcPr/>
          <w:p>
            <w:pPr>
              <w:pStyle w:val="Compact"/>
              <w:jc w:val="left"/>
            </w:pPr>
            <w:r>
              <w:t xml:space="preserve">210</w:t>
            </w:r>
          </w:p>
        </w:tc>
        <w:tc>
          <w:tcPr/>
          <w:p>
            <w:pPr>
              <w:pStyle w:val="Compact"/>
              <w:jc w:val="left"/>
            </w:pPr>
            <w:r>
              <w:t xml:space="preserve">18.00</w:t>
            </w:r>
          </w:p>
        </w:tc>
        <w:tc>
          <w:tcPr/>
          <w:p>
            <w:pPr>
              <w:pStyle w:val="Compact"/>
              <w:jc w:val="left"/>
            </w:pPr>
            <w:r>
              <w:t xml:space="preserve">3,780.00</w:t>
            </w:r>
          </w:p>
        </w:tc>
      </w:tr>
      <w:tr>
        <w:tc>
          <w:tcPr/>
          <w:p>
            <w:pPr>
              <w:pStyle w:val="Compact"/>
              <w:jc w:val="left"/>
            </w:pPr>
            <w:r>
              <w:t xml:space="preserve">11</w:t>
            </w:r>
          </w:p>
        </w:tc>
        <w:tc>
          <w:tcPr/>
          <w:p>
            <w:pPr>
              <w:pStyle w:val="Compact"/>
              <w:jc w:val="left"/>
            </w:pPr>
            <w:r>
              <w:t xml:space="preserve">Scaffolding, safety equipment, and site protection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12</w:t>
            </w:r>
          </w:p>
        </w:tc>
        <w:tc>
          <w:tcPr/>
          <w:p>
            <w:pPr>
              <w:pStyle w:val="Compact"/>
              <w:jc w:val="left"/>
            </w:pPr>
            <w:r>
              <w:t xml:space="preserve">Site supervision by certified master mason &amp; Soprintendenza coordination</w:t>
            </w:r>
          </w:p>
        </w:tc>
        <w:tc>
          <w:tcPr/>
          <w:p>
            <w:pPr>
              <w:pStyle w:val="Compact"/>
              <w:jc w:val="left"/>
            </w:pPr>
            <w:r>
              <w:t xml:space="preserve">month</w:t>
            </w:r>
          </w:p>
        </w:tc>
        <w:tc>
          <w:tcPr/>
          <w:p>
            <w:pPr>
              <w:pStyle w:val="Compact"/>
              <w:jc w:val="left"/>
            </w:pPr>
            <w:r>
              <w:t xml:space="preserve">4</w:t>
            </w:r>
          </w:p>
        </w:tc>
        <w:tc>
          <w:tcPr/>
          <w:p>
            <w:pPr>
              <w:pStyle w:val="Compact"/>
              <w:jc w:val="left"/>
            </w:pPr>
            <w:r>
              <w:t xml:space="preserve">2,200.00</w:t>
            </w:r>
          </w:p>
        </w:tc>
        <w:tc>
          <w:tcPr/>
          <w:p>
            <w:pPr>
              <w:pStyle w:val="Compact"/>
              <w:jc w:val="left"/>
            </w:pPr>
            <w:r>
              <w:t xml:space="preserve">8,800.00</w:t>
            </w:r>
          </w:p>
        </w:tc>
      </w:tr>
      <w:tr>
        <w:tc>
          <w:tcPr>
            <w:gridSpan w:val="5"/>
          </w:tcPr>
          <w:p>
            <w:pPr>
              <w:pStyle w:val="Compact"/>
              <w:jc w:val="right"/>
            </w:pPr>
            <w:r>
              <w:t xml:space="preserve">Subtotal (before VAT):</w:t>
            </w:r>
          </w:p>
        </w:tc>
        <w:tc>
          <w:tcPr/>
          <w:p>
            <w:pPr>
              <w:pStyle w:val="Compact"/>
              <w:jc w:val="left"/>
            </w:pPr>
            <w:r>
              <w:t xml:space="preserve">107,429.00</w:t>
            </w:r>
          </w:p>
        </w:tc>
      </w:tr>
      <w:tr>
        <w:tc>
          <w:tcPr>
            <w:gridSpan w:val="5"/>
          </w:tcPr>
          <w:p>
            <w:pPr>
              <w:pStyle w:val="Compact"/>
              <w:jc w:val="right"/>
            </w:pPr>
            <w:r>
              <w:t xml:space="preserve">VAT (22% — Italian standard rate):</w:t>
            </w:r>
          </w:p>
        </w:tc>
        <w:tc>
          <w:tcPr/>
          <w:p>
            <w:pPr>
              <w:pStyle w:val="Compact"/>
              <w:jc w:val="left"/>
            </w:pPr>
            <w:r>
              <w:t xml:space="preserve">23,634.38</w:t>
            </w:r>
          </w:p>
        </w:tc>
      </w:tr>
      <w:tr>
        <w:tc>
          <w:tcPr>
            <w:gridSpan w:val="5"/>
          </w:tcPr>
          <w:p>
            <w:pPr>
              <w:pStyle w:val="Compact"/>
              <w:jc w:val="right"/>
            </w:pPr>
            <w:r>
              <w:t xml:space="preserve">TOTAL AMOUNT DUE:</w:t>
            </w:r>
          </w:p>
        </w:tc>
        <w:tc>
          <w:tcPr/>
          <w:p>
            <w:pPr>
              <w:pStyle w:val="Compact"/>
              <w:jc w:val="left"/>
            </w:pPr>
            <w:r>
              <w:t xml:space="preserve">131,063.38</w:t>
            </w:r>
          </w:p>
        </w:tc>
      </w:tr>
    </w:tbl>
    <w:bookmarkEnd w:id="24"/>
    <w:bookmarkStart w:id="25" w:name="payment-schedule"/>
    <w:p>
      <w:pPr>
        <w:pStyle w:val="Heading2"/>
      </w:pPr>
      <w:r>
        <w:t xml:space="preserve">3. Payment Schedule</w:t>
      </w:r>
    </w:p>
    <w:p>
      <w:pPr>
        <w:pStyle w:val="FirstParagraph"/>
      </w:pPr>
      <w:r>
        <w:t xml:space="preserve">This</w:t>
      </w:r>
      <w:r>
        <w:t xml:space="preserve"> </w:t>
      </w:r>
      <w:r>
        <w:t xml:space="preserve">Quotation Estimate</w:t>
      </w:r>
      <w:r>
        <w:t xml:space="preserve"> </w:t>
      </w:r>
      <w:r>
        <w:t xml:space="preserve">for the</w:t>
      </w:r>
      <w:r>
        <w:t xml:space="preserve"> </w:t>
      </w:r>
      <w:r>
        <w:t xml:space="preserve">Mason</w:t>
      </w:r>
      <w:r>
        <w:t xml:space="preserve"> </w:t>
      </w:r>
      <w:r>
        <w:t xml:space="preserve">project in</w:t>
      </w:r>
      <w:r>
        <w:t xml:space="preserve"> </w:t>
      </w:r>
      <w:r>
        <w:t xml:space="preserve">Italy Naples</w:t>
      </w:r>
      <w:r>
        <w:t xml:space="preserve"> </w:t>
      </w:r>
      <w:r>
        <w:t xml:space="preserve">shall be settled according to the following milestone-based payment schedule:</w:t>
      </w:r>
    </w:p>
    <w:p>
      <w:pPr>
        <w:numPr>
          <w:ilvl w:val="0"/>
          <w:numId w:val="1002"/>
        </w:numPr>
        <w:pStyle w:val="Compact"/>
      </w:pPr>
      <w:r>
        <w:rPr>
          <w:bCs/>
          <w:b/>
        </w:rPr>
        <w:t xml:space="preserve">Advance Payment (30%):</w:t>
      </w:r>
      <w:r>
        <w:t xml:space="preserve"> </w:t>
      </w:r>
      <w:r>
        <w:t xml:space="preserve">EUR 39,319.01 — due upon signed acceptance of this Quotation Estimate and prior to commencement of works.</w:t>
      </w:r>
    </w:p>
    <w:p>
      <w:pPr>
        <w:numPr>
          <w:ilvl w:val="0"/>
          <w:numId w:val="1002"/>
        </w:numPr>
        <w:pStyle w:val="Compact"/>
      </w:pPr>
      <w:r>
        <w:rPr>
          <w:bCs/>
          <w:b/>
        </w:rPr>
        <w:t xml:space="preserve">Progress Payment 1 (25%):</w:t>
      </w:r>
      <w:r>
        <w:t xml:space="preserve"> </w:t>
      </w:r>
      <w:r>
        <w:t xml:space="preserve">EUR 32,765.85 — due upon completion of all facade masonry restoration and repointing.</w:t>
      </w:r>
    </w:p>
    <w:p>
      <w:pPr>
        <w:numPr>
          <w:ilvl w:val="0"/>
          <w:numId w:val="1002"/>
        </w:numPr>
        <w:pStyle w:val="Compact"/>
      </w:pPr>
      <w:r>
        <w:rPr>
          <w:bCs/>
          <w:b/>
        </w:rPr>
        <w:t xml:space="preserve">Progress Payment 2 (25%):</w:t>
      </w:r>
      <w:r>
        <w:t xml:space="preserve"> </w:t>
      </w:r>
      <w:r>
        <w:t xml:space="preserve">EUR 32,765.85 — due upon completion of all interior masonry work and staircase restoration.</w:t>
      </w:r>
    </w:p>
    <w:p>
      <w:pPr>
        <w:numPr>
          <w:ilvl w:val="0"/>
          <w:numId w:val="1002"/>
        </w:numPr>
        <w:pStyle w:val="Compact"/>
      </w:pPr>
      <w:r>
        <w:rPr>
          <w:bCs/>
          <w:b/>
        </w:rPr>
        <w:t xml:space="preserve">Final Payment (20%):</w:t>
      </w:r>
      <w:r>
        <w:t xml:space="preserve"> </w:t>
      </w:r>
      <w:r>
        <w:t xml:space="preserve">EUR 26,212.67 — due upon final inspection, sign-off by the client, and submission of all completion documentation to the Soprintendenza.</w:t>
      </w:r>
    </w:p>
    <w:bookmarkEnd w:id="25"/>
    <w:bookmarkStart w:id="26" w:name="terms-and-conditions"/>
    <w:p>
      <w:pPr>
        <w:pStyle w:val="Heading2"/>
      </w:pPr>
      <w:r>
        <w:t xml:space="preserve">4. Terms and Conditions</w:t>
      </w:r>
    </w:p>
    <w:p>
      <w:pPr>
        <w:pStyle w:val="FirstParagraph"/>
      </w:pPr>
      <w:r>
        <w:t xml:space="preserve">4.1. This Quotation Estimate is valid for a period of sixty (60) calendar days from the date of issue. Beyond this period, all prices, material costs, and labour rates are subject to revision based on prevailing market conditions in Italy Naples.</w:t>
      </w:r>
    </w:p>
    <w:p>
      <w:pPr>
        <w:pStyle w:val="BodyText"/>
      </w:pPr>
      <w:r>
        <w:t xml:space="preserve">4.2. All masonry work shall be executed in strict compliance with the Italian building code (D.P.R. 380/2001), regional regulations of Campania, and the specific conservation directives issued by the Soprintendenza for the historic centre of Naples.</w:t>
      </w:r>
    </w:p>
    <w:p>
      <w:pPr>
        <w:pStyle w:val="BodyText"/>
      </w:pPr>
      <w:r>
        <w:t xml:space="preserve">4.3. The estimated project duration is four (4) calendar months from the date of commencement, subject to weather conditions, availability of quarried tuff stone, and any additional works identified during the course of the project.</w:t>
      </w:r>
    </w:p>
    <w:p>
      <w:pPr>
        <w:pStyle w:val="BodyText"/>
      </w:pPr>
      <w:r>
        <w:t xml:space="preserve">4.4. Any variation or additional masonry work not included in this Quotation Estimate shall be subject to a separate written amendment, signed by both parties, before execution.</w:t>
      </w:r>
    </w:p>
    <w:p>
      <w:pPr>
        <w:pStyle w:val="BodyText"/>
      </w:pPr>
      <w:r>
        <w:t xml:space="preserve">4.5. The Mason contractor shall provide a ten-year structural warranty on all load-bearing masonry work and a five-year warranty on all decorative and finishing stone elements.</w:t>
      </w:r>
    </w:p>
    <w:p>
      <w:pPr>
        <w:pStyle w:val="BodyText"/>
      </w:pPr>
      <w:r>
        <w:t xml:space="preserve">4.6. All disputes arising from this Quotation Estimate shall be resolved under the jurisdiction of the Tribunale di Napoli, Italy Naples.</w:t>
      </w:r>
    </w:p>
    <w:p>
      <w:pPr>
        <w:pStyle w:val="BodyText"/>
      </w:pPr>
      <w:r>
        <w:t xml:space="preserve">4.7. The client acknowledges that the use of traditional tuff stone and lime mortar is essential for the historical integrity of the building and agrees that no modern cement-based substitutes shall be used without prior written consent.</w:t>
      </w:r>
    </w:p>
    <w:bookmarkEnd w:id="26"/>
    <w:bookmarkStart w:id="27" w:name="acceptance"/>
    <w:p>
      <w:pPr>
        <w:pStyle w:val="Heading2"/>
      </w:pPr>
      <w:r>
        <w:t xml:space="preserve">5. Acceptance</w:t>
      </w:r>
    </w:p>
    <w:p>
      <w:pPr>
        <w:pStyle w:val="FirstParagraph"/>
      </w:pPr>
      <w:r>
        <w:t xml:space="preserve">By signing below, the client confirms acceptance of this Quotation Estimate for the Mason restoration project in Italy Naples and authorises Studio Marmo &amp; Pietra S.r.l. to proceed with the works as described herein.</w:t>
      </w:r>
    </w:p>
    <w:p>
      <w:pPr>
        <w:pStyle w:val="BodyText"/>
      </w:pPr>
      <w:r>
        <w:rPr>
          <w:bCs/>
          <w:b/>
        </w:rPr>
        <w:t xml:space="preserve">For Studio Marmo &amp; Pietra S.r.l.</w:t>
      </w:r>
    </w:p>
    <w:p>
      <w:pPr>
        <w:pStyle w:val="BodyText"/>
      </w:pPr>
      <w:r>
        <w:t xml:space="preserve">Master Mason &amp; Project Director</w:t>
      </w:r>
    </w:p>
    <w:p>
      <w:pPr>
        <w:pStyle w:val="BodyText"/>
      </w:pPr>
      <w:r>
        <w:t xml:space="preserve">Signature &amp; Date</w:t>
      </w:r>
    </w:p>
    <w:p>
      <w:pPr>
        <w:pStyle w:val="BodyText"/>
      </w:pPr>
      <w:r>
        <w:rPr>
          <w:bCs/>
          <w:b/>
        </w:rPr>
        <w:t xml:space="preserve">For the Client</w:t>
      </w:r>
    </w:p>
    <w:p>
      <w:pPr>
        <w:pStyle w:val="BodyText"/>
      </w:pPr>
      <w:r>
        <w:t xml:space="preserve">Ing. Alessandro De Luca</w:t>
      </w:r>
    </w:p>
    <w:p>
      <w:pPr>
        <w:pStyle w:val="BodyText"/>
      </w:pPr>
      <w:r>
        <w:t xml:space="preserve">Signature &amp; Date</w:t>
      </w:r>
    </w:p>
    <w:p>
      <w:pPr>
        <w:pStyle w:val="BodyText"/>
      </w:pPr>
      <w:r>
        <w:t xml:space="preserve">This Quotation Estimate document was prepared exclusively for the project in Italy Naples. It is not transferable and does not constitute a binding contract until countersigned by both parties. © 2025 Studio Marmo &amp; Pietra S.r.l. — Naples, Italy.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Italy Naples</dc:title>
  <dc:creator/>
  <dc:language>en</dc:language>
  <cp:keywords/>
  <dcterms:created xsi:type="dcterms:W3CDTF">2026-10-10T02:14:07Z</dcterms:created>
  <dcterms:modified xsi:type="dcterms:W3CDTF">2026-10-10T02:14:07Z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