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Work</w:t>
      </w:r>
      <w:r>
        <w:t xml:space="preserve"> </w:t>
      </w:r>
      <w:r>
        <w:t xml:space="preserve">-</w:t>
      </w:r>
      <w:r>
        <w:t xml:space="preserve"> </w:t>
      </w:r>
      <w:r>
        <w:t xml:space="preserve">Japan</w:t>
      </w:r>
      <w:r>
        <w:t xml:space="preserve"> </w:t>
      </w:r>
      <w:r>
        <w:t xml:space="preserve">Kyoto</w:t>
      </w:r>
    </w:p>
    <w:bookmarkStart w:id="20" w:name="kyoto-heritage-masonry-co.-ltd."/>
    <w:p>
      <w:pPr>
        <w:pStyle w:val="Heading1"/>
      </w:pPr>
      <w:r>
        <w:t xml:space="preserve">Kyoto Heritage Masonry Co., Ltd.</w:t>
      </w:r>
    </w:p>
    <w:p>
      <w:pPr>
        <w:pStyle w:val="FirstParagraph"/>
      </w:pPr>
      <w:r>
        <w:t xml:space="preserve">12-34 Higashiyama-ku, Kyoto, Japan 605-0001</w:t>
      </w:r>
    </w:p>
    <w:p>
      <w:pPr>
        <w:pStyle w:val="BodyText"/>
      </w:pPr>
      <w:r>
        <w:t xml:space="preserve">Tel: +81-75-123-4567 | Email: estimates@kyotomasonry.jp</w:t>
      </w:r>
    </w:p>
    <w:p>
      <w:pPr>
        <w:pStyle w:val="BodyText"/>
      </w:pPr>
      <w:r>
        <w:t xml:space="preserve">License No. JP-KYO-2024-08834 | Registered in Japan Kyoto Prefecture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QTE-KYO-2025-00472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August 2025</w:t>
      </w:r>
    </w:p>
    <w:p>
      <w:pPr>
        <w:pStyle w:val="BodyText"/>
      </w:pPr>
      <w:r>
        <w:rPr>
          <w:bCs/>
          <w:b/>
        </w:rPr>
        <w:t xml:space="preserve">Project Location:</w:t>
      </w:r>
      <w:r>
        <w:t xml:space="preserve"> </w:t>
      </w:r>
      <w:r>
        <w:t xml:space="preserve">Japan Kyoto, Higashiyama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Tanaka Residence Restoration Project</w:t>
      </w:r>
    </w:p>
    <w:p>
      <w:pPr>
        <w:pStyle w:val="BodyText"/>
      </w:pPr>
      <w:r>
        <w:rPr>
          <w:bCs/>
          <w:b/>
        </w:rPr>
        <w:t xml:space="preserve">Address:</w:t>
      </w:r>
      <w:r>
        <w:t xml:space="preserve"> </w:t>
      </w:r>
      <w:r>
        <w:t xml:space="preserve">56-2 Gion-machi, Higashiyama-ku, Japan Kyoto</w:t>
      </w:r>
    </w:p>
    <w:p>
      <w:pPr>
        <w:pStyle w:val="BodyText"/>
      </w:pPr>
      <w:r>
        <w:rPr>
          <w:bCs/>
          <w:b/>
        </w:rPr>
        <w:t xml:space="preserve">Contact:</w:t>
      </w:r>
      <w:r>
        <w:t xml:space="preserve"> </w:t>
      </w:r>
      <w:r>
        <w:t xml:space="preserve">Mr. Hiroshi Tanaka</w:t>
      </w:r>
    </w:p>
    <w:p>
      <w:pPr>
        <w:pStyle w:val="BodyText"/>
      </w:pPr>
      <w:r>
        <w:rPr>
          <w:bCs/>
          <w:b/>
        </w:rPr>
        <w:t xml:space="preserve">Phone:</w:t>
      </w:r>
      <w:r>
        <w:t xml:space="preserve"> </w:t>
      </w:r>
      <w:r>
        <w:t xml:space="preserve">+81-90-555-0192</w:t>
      </w:r>
    </w:p>
    <w:bookmarkEnd w:id="22"/>
    <w:p>
      <w:pPr>
        <w:pStyle w:val="BodyText"/>
      </w:pPr>
      <w:r>
        <w:t xml:space="preserve">Dear Mr. Tanaka,</w:t>
      </w:r>
    </w:p>
    <w:p>
      <w:pPr>
        <w:pStyle w:val="BodyText"/>
      </w:pPr>
      <w:r>
        <w:t xml:space="preserve">Thank you for engaging our firm to prepare this</w:t>
      </w:r>
      <w:r>
        <w:t xml:space="preserve"> </w:t>
      </w:r>
      <w:r>
        <w:rPr>
          <w:bCs/>
          <w:b/>
        </w:rPr>
        <w:t xml:space="preserve">Quotation Estimate</w:t>
      </w:r>
      <w:r>
        <w:t xml:space="preserve"> </w:t>
      </w:r>
      <w:r>
        <w:t xml:space="preserve">for the masonry restoration and construction work at your historic property in</w:t>
      </w:r>
      <w:r>
        <w:t xml:space="preserve"> </w:t>
      </w:r>
      <w:r>
        <w:rPr>
          <w:bCs/>
          <w:b/>
        </w:rPr>
        <w:t xml:space="preserve">Japan Kyoto</w:t>
      </w:r>
      <w:r>
        <w:t xml:space="preserve">. As a licensed</w:t>
      </w:r>
      <w:r>
        <w:t xml:space="preserve"> </w:t>
      </w:r>
      <w:r>
        <w:rPr>
          <w:bCs/>
          <w:b/>
        </w:rPr>
        <w:t xml:space="preserve">Mason</w:t>
      </w:r>
      <w:r>
        <w:t xml:space="preserve"> </w:t>
      </w:r>
      <w:r>
        <w:t xml:space="preserve">and masonry contractor operating exclusively within the Kyoto metropolitan area, we bring over twenty-five years of specialized experience in traditional Japanese stone and brickwork. This Quotation Estimate outlines all costs, materials, labor, and project milestones associated with the masonry scope of work described below.</w:t>
      </w:r>
    </w:p>
    <w:p>
      <w:pPr>
        <w:pStyle w:val="BodyText"/>
      </w:pPr>
      <w:r>
        <w:t xml:space="preserve">Scope of Mason Work – Japan Kyoto Project</w:t>
      </w:r>
    </w:p>
    <w:p>
      <w:pPr>
        <w:pStyle w:val="BodyText"/>
      </w:pPr>
      <w:r>
        <w:t xml:space="preserve">The following Quotation Estimate covers the complete masonry scope for the restoration of the eastern garden wall, the reconstruction of the stone pathway, and the repair of the main entrance gate foundation. All masonry work will be executed by our certified Mason team in accordance with Japan Kyoto municipal building codes and the cultural heritage preservation guidelines issued by the Kyoto City Board of Education.</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Demolition and removal of deteriorated eastern garden wall (approx. 18m length, 1.2m height) using traditional Mason techniques</w:t>
            </w:r>
          </w:p>
        </w:tc>
        <w:tc>
          <w:tcPr/>
          <w:p>
            <w:pPr>
              <w:pStyle w:val="Compact"/>
              <w:jc w:val="left"/>
            </w:pPr>
            <w:r>
              <w:t xml:space="preserve">Linear m</w:t>
            </w:r>
          </w:p>
        </w:tc>
        <w:tc>
          <w:tcPr/>
          <w:p>
            <w:pPr>
              <w:pStyle w:val="Compact"/>
              <w:jc w:val="left"/>
            </w:pPr>
            <w:r>
              <w:t xml:space="preserve">18</w:t>
            </w:r>
          </w:p>
        </w:tc>
        <w:tc>
          <w:tcPr/>
          <w:p>
            <w:pPr>
              <w:pStyle w:val="Compact"/>
              <w:jc w:val="left"/>
            </w:pPr>
            <w:r>
              <w:t xml:space="preserve">45,000</w:t>
            </w:r>
          </w:p>
        </w:tc>
        <w:tc>
          <w:tcPr/>
          <w:p>
            <w:pPr>
              <w:pStyle w:val="Compact"/>
              <w:jc w:val="left"/>
            </w:pPr>
            <w:r>
              <w:t xml:space="preserve">810,000</w:t>
            </w:r>
          </w:p>
        </w:tc>
      </w:tr>
      <w:tr>
        <w:tc>
          <w:tcPr/>
          <w:p>
            <w:pPr>
              <w:pStyle w:val="Compact"/>
              <w:jc w:val="left"/>
            </w:pPr>
            <w:r>
              <w:t xml:space="preserve">02</w:t>
            </w:r>
          </w:p>
        </w:tc>
        <w:tc>
          <w:tcPr/>
          <w:p>
            <w:pPr>
              <w:pStyle w:val="Compact"/>
              <w:jc w:val="left"/>
            </w:pPr>
            <w:r>
              <w:t xml:space="preserve">Supply and installation of locally sourced Kyoto granite blocks (Higashiyama quarry) for garden wall reconstruction</w:t>
            </w:r>
          </w:p>
        </w:tc>
        <w:tc>
          <w:tcPr/>
          <w:p>
            <w:pPr>
              <w:pStyle w:val="Compact"/>
              <w:jc w:val="left"/>
            </w:pPr>
            <w:r>
              <w:t xml:space="preserve">m³</w:t>
            </w:r>
          </w:p>
        </w:tc>
        <w:tc>
          <w:tcPr/>
          <w:p>
            <w:pPr>
              <w:pStyle w:val="Compact"/>
              <w:jc w:val="left"/>
            </w:pPr>
            <w:r>
              <w:t xml:space="preserve">26</w:t>
            </w:r>
          </w:p>
        </w:tc>
        <w:tc>
          <w:tcPr/>
          <w:p>
            <w:pPr>
              <w:pStyle w:val="Compact"/>
              <w:jc w:val="left"/>
            </w:pPr>
            <w:r>
              <w:t xml:space="preserve">185,000</w:t>
            </w:r>
          </w:p>
        </w:tc>
        <w:tc>
          <w:tcPr/>
          <w:p>
            <w:pPr>
              <w:pStyle w:val="Compact"/>
              <w:jc w:val="left"/>
            </w:pPr>
            <w:r>
              <w:t xml:space="preserve">4,810,000</w:t>
            </w:r>
          </w:p>
        </w:tc>
      </w:tr>
      <w:tr>
        <w:tc>
          <w:tcPr/>
          <w:p>
            <w:pPr>
              <w:pStyle w:val="Compact"/>
              <w:jc w:val="left"/>
            </w:pPr>
            <w:r>
              <w:t xml:space="preserve">03</w:t>
            </w:r>
          </w:p>
        </w:tc>
        <w:tc>
          <w:tcPr/>
          <w:p>
            <w:pPr>
              <w:pStyle w:val="Compact"/>
              <w:jc w:val="left"/>
            </w:pPr>
            <w:r>
              <w:t xml:space="preserve">Mason labor – skilled stonemasonry for garden wall rebuilding including dry-stone base and mortar-bonded upper courses</w:t>
            </w:r>
          </w:p>
        </w:tc>
        <w:tc>
          <w:tcPr/>
          <w:p>
            <w:pPr>
              <w:pStyle w:val="Compact"/>
              <w:jc w:val="left"/>
            </w:pPr>
            <w:r>
              <w:t xml:space="preserve">Man-days</w:t>
            </w:r>
          </w:p>
        </w:tc>
        <w:tc>
          <w:tcPr/>
          <w:p>
            <w:pPr>
              <w:pStyle w:val="Compact"/>
              <w:jc w:val="left"/>
            </w:pPr>
            <w:r>
              <w:t xml:space="preserve">42</w:t>
            </w:r>
          </w:p>
        </w:tc>
        <w:tc>
          <w:tcPr/>
          <w:p>
            <w:pPr>
              <w:pStyle w:val="Compact"/>
              <w:jc w:val="left"/>
            </w:pPr>
            <w:r>
              <w:t xml:space="preserve">38,000</w:t>
            </w:r>
          </w:p>
        </w:tc>
        <w:tc>
          <w:tcPr/>
          <w:p>
            <w:pPr>
              <w:pStyle w:val="Compact"/>
              <w:jc w:val="left"/>
            </w:pPr>
            <w:r>
              <w:t xml:space="preserve">1,596,000</w:t>
            </w:r>
          </w:p>
        </w:tc>
      </w:tr>
      <w:tr>
        <w:tc>
          <w:tcPr/>
          <w:p>
            <w:pPr>
              <w:pStyle w:val="Compact"/>
              <w:jc w:val="left"/>
            </w:pPr>
            <w:r>
              <w:t xml:space="preserve">04</w:t>
            </w:r>
          </w:p>
        </w:tc>
        <w:tc>
          <w:tcPr/>
          <w:p>
            <w:pPr>
              <w:pStyle w:val="Compact"/>
              <w:jc w:val="left"/>
            </w:pPr>
            <w:r>
              <w:t xml:space="preserve">Reconstruction of stone pathway (approx. 32m length) using flat-cut Kyoto basalt slabs with sand-set joints</w:t>
            </w:r>
          </w:p>
        </w:tc>
        <w:tc>
          <w:tcPr/>
          <w:p>
            <w:pPr>
              <w:pStyle w:val="Compact"/>
              <w:jc w:val="left"/>
            </w:pPr>
            <w:r>
              <w:t xml:space="preserve">m²</w:t>
            </w:r>
          </w:p>
        </w:tc>
        <w:tc>
          <w:tcPr/>
          <w:p>
            <w:pPr>
              <w:pStyle w:val="Compact"/>
              <w:jc w:val="left"/>
            </w:pPr>
            <w:r>
              <w:t xml:space="preserve">48</w:t>
            </w:r>
          </w:p>
        </w:tc>
        <w:tc>
          <w:tcPr/>
          <w:p>
            <w:pPr>
              <w:pStyle w:val="Compact"/>
              <w:jc w:val="left"/>
            </w:pPr>
            <w:r>
              <w:t xml:space="preserve">62,000</w:t>
            </w:r>
          </w:p>
        </w:tc>
        <w:tc>
          <w:tcPr/>
          <w:p>
            <w:pPr>
              <w:pStyle w:val="Compact"/>
              <w:jc w:val="left"/>
            </w:pPr>
            <w:r>
              <w:t xml:space="preserve">2,976,000</w:t>
            </w:r>
          </w:p>
        </w:tc>
      </w:tr>
      <w:tr>
        <w:tc>
          <w:tcPr/>
          <w:p>
            <w:pPr>
              <w:pStyle w:val="Compact"/>
              <w:jc w:val="left"/>
            </w:pPr>
            <w:r>
              <w:t xml:space="preserve">05</w:t>
            </w:r>
          </w:p>
        </w:tc>
        <w:tc>
          <w:tcPr/>
          <w:p>
            <w:pPr>
              <w:pStyle w:val="Compact"/>
              <w:jc w:val="left"/>
            </w:pPr>
            <w:r>
              <w:t xml:space="preserve">Repair and re-pointing of main entrance gate foundation (approx. 4m × 2.5m) with traditional lime mortar mix</w:t>
            </w:r>
          </w:p>
        </w:tc>
        <w:tc>
          <w:tcPr/>
          <w:p>
            <w:pPr>
              <w:pStyle w:val="Compact"/>
              <w:jc w:val="left"/>
            </w:pPr>
            <w:r>
              <w:t xml:space="preserve">m²</w:t>
            </w:r>
          </w:p>
        </w:tc>
        <w:tc>
          <w:tcPr/>
          <w:p>
            <w:pPr>
              <w:pStyle w:val="Compact"/>
              <w:jc w:val="left"/>
            </w:pPr>
            <w:r>
              <w:t xml:space="preserve">10</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Supply of traditional Japanese lime mortar (kirei-ha) and supplementary cementitious materials</w:t>
            </w:r>
          </w:p>
        </w:tc>
        <w:tc>
          <w:tcPr/>
          <w:p>
            <w:pPr>
              <w:pStyle w:val="Compact"/>
              <w:jc w:val="left"/>
            </w:pPr>
            <w:r>
              <w:t xml:space="preserve">Bag (40kg)</w:t>
            </w:r>
          </w:p>
        </w:tc>
        <w:tc>
          <w:tcPr/>
          <w:p>
            <w:pPr>
              <w:pStyle w:val="Compact"/>
              <w:jc w:val="left"/>
            </w:pPr>
            <w:r>
              <w:t xml:space="preserve">120</w:t>
            </w:r>
          </w:p>
        </w:tc>
        <w:tc>
          <w:tcPr/>
          <w:p>
            <w:pPr>
              <w:pStyle w:val="Compact"/>
              <w:jc w:val="left"/>
            </w:pPr>
            <w:r>
              <w:t xml:space="preserve">3,200</w:t>
            </w:r>
          </w:p>
        </w:tc>
        <w:tc>
          <w:tcPr/>
          <w:p>
            <w:pPr>
              <w:pStyle w:val="Compact"/>
              <w:jc w:val="left"/>
            </w:pPr>
            <w:r>
              <w:t xml:space="preserve">384,000</w:t>
            </w:r>
          </w:p>
        </w:tc>
      </w:tr>
      <w:tr>
        <w:tc>
          <w:tcPr/>
          <w:p>
            <w:pPr>
              <w:pStyle w:val="Compact"/>
              <w:jc w:val="left"/>
            </w:pPr>
            <w:r>
              <w:t xml:space="preserve">07</w:t>
            </w:r>
          </w:p>
        </w:tc>
        <w:tc>
          <w:tcPr/>
          <w:p>
            <w:pPr>
              <w:pStyle w:val="Compact"/>
              <w:jc w:val="left"/>
            </w:pPr>
            <w:r>
              <w:t xml:space="preserve">Site preparation, scaffolding, and temporary protection of adjacent structures during Mason work</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Final finishing, joint sealing, and application of weatherproofing sealant to all exposed Mason surfaces</w:t>
            </w:r>
          </w:p>
        </w:tc>
        <w:tc>
          <w:tcPr/>
          <w:p>
            <w:pPr>
              <w:pStyle w:val="Compact"/>
              <w:jc w:val="left"/>
            </w:pPr>
            <w:r>
              <w:t xml:space="preserve">m²</w:t>
            </w:r>
          </w:p>
        </w:tc>
        <w:tc>
          <w:tcPr/>
          <w:p>
            <w:pPr>
              <w:pStyle w:val="Compact"/>
              <w:jc w:val="left"/>
            </w:pPr>
            <w:r>
              <w:t xml:space="preserve">85</w:t>
            </w:r>
          </w:p>
        </w:tc>
        <w:tc>
          <w:tcPr/>
          <w:p>
            <w:pPr>
              <w:pStyle w:val="Compact"/>
              <w:jc w:val="left"/>
            </w:pPr>
            <w:r>
              <w:t xml:space="preserve">12,000</w:t>
            </w:r>
          </w:p>
        </w:tc>
        <w:tc>
          <w:tcPr/>
          <w:p>
            <w:pPr>
              <w:pStyle w:val="Compact"/>
              <w:jc w:val="left"/>
            </w:pPr>
            <w:r>
              <w:t xml:space="preserve">1,020,000</w:t>
            </w:r>
          </w:p>
        </w:tc>
      </w:tr>
      <w:tr>
        <w:tc>
          <w:tcPr/>
          <w:p>
            <w:pPr>
              <w:pStyle w:val="Compact"/>
              <w:jc w:val="left"/>
            </w:pPr>
            <w:r>
              <w:t xml:space="preserve">09</w:t>
            </w:r>
          </w:p>
        </w:tc>
        <w:tc>
          <w:tcPr/>
          <w:p>
            <w:pPr>
              <w:pStyle w:val="Compact"/>
              <w:jc w:val="left"/>
            </w:pPr>
            <w:r>
              <w:t xml:space="preserve">Project supervision by senior Mason and compliance inspection with Japan Kyoto heritage authority</w:t>
            </w:r>
          </w:p>
        </w:tc>
        <w:tc>
          <w:tcPr/>
          <w:p>
            <w:pPr>
              <w:pStyle w:val="Compact"/>
              <w:jc w:val="left"/>
            </w:pPr>
            <w:r>
              <w:t xml:space="preserve">Weeks</w:t>
            </w:r>
          </w:p>
        </w:tc>
        <w:tc>
          <w:tcPr/>
          <w:p>
            <w:pPr>
              <w:pStyle w:val="Compact"/>
              <w:jc w:val="left"/>
            </w:pPr>
            <w:r>
              <w:t xml:space="preserve">8</w:t>
            </w:r>
          </w:p>
        </w:tc>
        <w:tc>
          <w:tcPr/>
          <w:p>
            <w:pPr>
              <w:pStyle w:val="Compact"/>
              <w:jc w:val="left"/>
            </w:pPr>
            <w:r>
              <w:t xml:space="preserve">55,000</w:t>
            </w:r>
          </w:p>
        </w:tc>
        <w:tc>
          <w:tcPr/>
          <w:p>
            <w:pPr>
              <w:pStyle w:val="Compact"/>
              <w:jc w:val="left"/>
            </w:pPr>
            <w:r>
              <w:t xml:space="preserve">440,000</w:t>
            </w:r>
          </w:p>
        </w:tc>
      </w:tr>
      <w:tr>
        <w:tc>
          <w:tcPr/>
          <w:p>
            <w:pPr>
              <w:pStyle w:val="Compact"/>
              <w:jc w:val="left"/>
            </w:pPr>
            <w:r>
              <w:t xml:space="preserve">10</w:t>
            </w:r>
          </w:p>
        </w:tc>
        <w:tc>
          <w:tcPr/>
          <w:p>
            <w:pPr>
              <w:pStyle w:val="Compact"/>
              <w:jc w:val="left"/>
            </w:pPr>
            <w:r>
              <w:t xml:space="preserve">Waste removal, site cleanup,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 (JPY)</w:t>
            </w:r>
          </w:p>
        </w:tc>
        <w:tc>
          <w:tcPr/>
          <w:p>
            <w:pPr>
              <w:pStyle w:val="Compact"/>
              <w:jc w:val="left"/>
            </w:pPr>
            <w:r>
              <w:t xml:space="preserve">13,616,000</w:t>
            </w:r>
          </w:p>
        </w:tc>
      </w:tr>
      <w:tr>
        <w:tc>
          <w:tcPr>
            <w:gridSpan w:val="5"/>
          </w:tcPr>
          <w:p>
            <w:pPr>
              <w:pStyle w:val="Compact"/>
              <w:jc w:val="right"/>
            </w:pPr>
            <w:r>
              <w:t xml:space="preserve">Consumption Tax (10%)</w:t>
            </w:r>
          </w:p>
        </w:tc>
        <w:tc>
          <w:tcPr/>
          <w:p>
            <w:pPr>
              <w:pStyle w:val="Compact"/>
              <w:jc w:val="left"/>
            </w:pPr>
            <w:r>
              <w:t xml:space="preserve">1,361,600</w:t>
            </w:r>
          </w:p>
        </w:tc>
      </w:tr>
      <w:tr>
        <w:tc>
          <w:tcPr>
            <w:gridSpan w:val="5"/>
          </w:tcPr>
          <w:p>
            <w:pPr>
              <w:pStyle w:val="Compact"/>
              <w:jc w:val="right"/>
            </w:pPr>
            <w:r>
              <w:t xml:space="preserve">TOTAL QUOTATION ESTIMATE (JPY)</w:t>
            </w:r>
          </w:p>
        </w:tc>
        <w:tc>
          <w:tcPr/>
          <w:p>
            <w:pPr>
              <w:pStyle w:val="Compact"/>
              <w:jc w:val="left"/>
            </w:pPr>
            <w:r>
              <w:t xml:space="preserve">14,977,600</w:t>
            </w:r>
          </w:p>
        </w:tc>
      </w:tr>
    </w:tbl>
    <w:p>
      <w:pPr>
        <w:pStyle w:val="BodyText"/>
      </w:pPr>
      <w:r>
        <w:rPr>
          <w:bCs/>
          <w:b/>
        </w:rPr>
        <w:t xml:space="preserve">Note:</w:t>
      </w:r>
      <w:r>
        <w:t xml:space="preserve"> </w:t>
      </w:r>
      <w:r>
        <w:t xml:space="preserve">This Quotation Estimate is based on the site survey conducted on 28 May 2025 in Japan Kyoto. Should hidden structural deficiencies be discovered during the Mason demolition phase, a supplementary Quotation Estimate will be issued within five (5) business days for your written approval before any additional work commences. All pricing is in Japanese Yen (JPY) and inclusive of standard tools and equipment.</w:t>
      </w:r>
    </w:p>
    <w:p>
      <w:pPr>
        <w:pStyle w:val="BodyText"/>
      </w:pPr>
      <w:r>
        <w:t xml:space="preserve">Project Timeline</w:t>
      </w:r>
    </w:p>
    <w:p>
      <w:pPr>
        <w:pStyle w:val="BodyText"/>
      </w:pPr>
      <w:r>
        <w:t xml:space="preserve">The anticipated duration for all Mason work described in this Quotation Estimate is approximately eight (8) weeks from the approved commencement date. The schedule accounts for Japan Kyoto seasonal weather patterns, particularly the rainy season (tsuyu) which may require temporary protective measures. A detailed weekly progress report will be submitted to the client every Friday.</w:t>
      </w:r>
    </w:p>
    <w:p>
      <w:pPr>
        <w:pStyle w:val="BodyText"/>
      </w:pPr>
      <w:r>
        <w:t xml:space="preserve">Terms and Conditions of This Quotation Estimate</w:t>
      </w:r>
    </w:p>
    <w:p>
      <w:pPr>
        <w:numPr>
          <w:ilvl w:val="0"/>
          <w:numId w:val="1001"/>
        </w:numPr>
        <w:pStyle w:val="Compact"/>
      </w:pPr>
      <w:r>
        <w:t xml:space="preserve">This Quotation Estimate is valid for sixty (60) days from the date of issue. After the expiry date, all material and labor rates are subject to revision.</w:t>
      </w:r>
    </w:p>
    <w:p>
      <w:pPr>
        <w:numPr>
          <w:ilvl w:val="0"/>
          <w:numId w:val="1001"/>
        </w:numPr>
        <w:pStyle w:val="Compact"/>
      </w:pPr>
      <w:r>
        <w:t xml:space="preserve">Payment terms: 30% advance deposit upon acceptance of this Quotation Estimate; 40% upon completion of the garden wall Mason work; 30% upon final inspection and handover.</w:t>
      </w:r>
    </w:p>
    <w:p>
      <w:pPr>
        <w:numPr>
          <w:ilvl w:val="0"/>
          <w:numId w:val="1001"/>
        </w:numPr>
        <w:pStyle w:val="Compact"/>
      </w:pPr>
      <w:r>
        <w:t xml:space="preserve">All Mason work is guaranteed for a period of five (5) years from the date of final acceptance, covering workmanship defects only.</w:t>
      </w:r>
    </w:p>
    <w:p>
      <w:pPr>
        <w:numPr>
          <w:ilvl w:val="0"/>
          <w:numId w:val="1001"/>
        </w:numPr>
        <w:pStyle w:val="Compact"/>
      </w:pPr>
      <w:r>
        <w:t xml:space="preserve">The client is responsible for obtaining all necessary permits from Japan Kyoto municipal authorities prior to commencement. Our firm will provide technical documentation to support the permit application.</w:t>
      </w:r>
    </w:p>
    <w:p>
      <w:pPr>
        <w:numPr>
          <w:ilvl w:val="0"/>
          <w:numId w:val="1001"/>
        </w:numPr>
        <w:pStyle w:val="Compact"/>
      </w:pPr>
      <w:r>
        <w:t xml:space="preserve">Any changes to the scope of Mason work must be agreed upon in writing via a formal change order referencing this Quotation Estimate number.</w:t>
      </w:r>
    </w:p>
    <w:p>
      <w:pPr>
        <w:numPr>
          <w:ilvl w:val="0"/>
          <w:numId w:val="1001"/>
        </w:numPr>
        <w:pStyle w:val="Compact"/>
      </w:pPr>
      <w:r>
        <w:t xml:space="preserve">Work will be performed in compliance with all applicable Japanese national building standards and Japan Kyoto local heritage preservation regulations.</w:t>
      </w:r>
    </w:p>
    <w:p>
      <w:pPr>
        <w:numPr>
          <w:ilvl w:val="0"/>
          <w:numId w:val="1001"/>
        </w:numPr>
        <w:pStyle w:val="Compact"/>
      </w:pPr>
      <w:r>
        <w:t xml:space="preserve">Our Mason team will observe all site safety protocols and maintain full liability insurance coverage throughout the project duration.</w:t>
      </w:r>
    </w:p>
    <w:p>
      <w:pPr>
        <w:numPr>
          <w:ilvl w:val="0"/>
          <w:numId w:val="1001"/>
        </w:numPr>
        <w:pStyle w:val="Compact"/>
      </w:pPr>
      <w:r>
        <w:t xml:space="preserve">This Quotation Estimate does not include landscaping, electrical, or plumbing work. Those disciplines must be separately contracted.</w:t>
      </w:r>
    </w:p>
    <w:p>
      <w:pPr>
        <w:pStyle w:val="FirstParagraph"/>
      </w:pPr>
      <w:r>
        <w:t xml:space="preserve">Acceptance</w:t>
      </w:r>
    </w:p>
    <w:p>
      <w:pPr>
        <w:pStyle w:val="BodyText"/>
      </w:pPr>
      <w:r>
        <w:t xml:space="preserve">By signing below, the client acknowledges receipt of this Quotation Estimate and agrees to the terms, conditions, and pricing outlined herein for the Mason work to be performed in Japan Kyoto.</w:t>
      </w:r>
    </w:p>
    <w:p>
      <w:pPr>
        <w:pStyle w:val="BodyText"/>
      </w:pPr>
      <w:r>
        <w:rPr>
          <w:bCs/>
          <w:b/>
        </w:rPr>
        <w:t xml:space="preserve">Prepared by:</w:t>
      </w:r>
      <w:r>
        <w:br/>
      </w:r>
      <w:r>
        <w:t xml:space="preserve">Kenji Yamamoto, Chief Mason</w:t>
      </w:r>
      <w:r>
        <w:br/>
      </w:r>
      <w:r>
        <w:t xml:space="preserve">Kyoto Heritage Masonry Co., Ltd.</w:t>
      </w:r>
      <w:r>
        <w:br/>
      </w:r>
      <w:r>
        <w:t xml:space="preserve">Date: _______________</w:t>
      </w:r>
    </w:p>
    <w:p>
      <w:pPr>
        <w:pStyle w:val="BodyText"/>
      </w:pPr>
      <w:r>
        <w:rPr>
          <w:bCs/>
          <w:b/>
        </w:rPr>
        <w:t xml:space="preserve">Accepted by (Client):</w:t>
      </w:r>
      <w:r>
        <w:br/>
      </w:r>
      <w:r>
        <w:t xml:space="preserve">Hiroshi Tanaka</w:t>
      </w:r>
      <w:r>
        <w:br/>
      </w:r>
      <w:r>
        <w:t xml:space="preserve">Tanaka Residence Restoration Project</w:t>
      </w:r>
      <w:r>
        <w:br/>
      </w:r>
      <w:r>
        <w:t xml:space="preserve">Date: _______________</w:t>
      </w:r>
    </w:p>
    <w:p>
      <w:pPr>
        <w:pStyle w:val="BodyText"/>
      </w:pPr>
      <w:r>
        <w:t xml:space="preserve">Kyoto Heritage Masonry Co., Ltd. | 12-34 Higashiyama-ku, Japan Kyoto 605-0001 | Tel: +81-75-123-4567</w:t>
      </w:r>
    </w:p>
    <w:p>
      <w:pPr>
        <w:pStyle w:val="BodyText"/>
      </w:pPr>
      <w:r>
        <w:t xml:space="preserve">Quotation Estimate No. QTE-KYO-2025-00472 | Page 1 of 1 | This document is confidential and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Work - Japan Kyoto</dc:title>
  <dc:creator/>
  <dc:language>en</dc:language>
  <cp:keywords/>
  <dcterms:created xsi:type="dcterms:W3CDTF">2026-10-10T01:06:39Z</dcterms:created>
  <dcterms:modified xsi:type="dcterms:W3CDTF">2026-10-10T01:06:39Z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