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w:t>
      </w:r>
      <w:r>
        <w:t xml:space="preserve"> </w:t>
      </w:r>
      <w:r>
        <w:t xml:space="preserve">Japan</w:t>
      </w:r>
      <w:r>
        <w:t xml:space="preserve"> </w:t>
      </w:r>
      <w:r>
        <w:t xml:space="preserve">Tokyo</w:t>
      </w:r>
    </w:p>
    <w:bookmarkStart w:id="20" w:name="mason-construction-stonework-co.-ltd."/>
    <w:p>
      <w:pPr>
        <w:pStyle w:val="Heading1"/>
      </w:pPr>
      <w:r>
        <w:t xml:space="preserve">Mason Construction &amp; Stonework Co., Ltd.</w:t>
      </w:r>
    </w:p>
    <w:p>
      <w:pPr>
        <w:pStyle w:val="FirstParagraph"/>
      </w:pPr>
      <w:r>
        <w:t xml:space="preserve">Address: 2-14-8 Shibuya, Shibuya-ku, Tokyo 150-0002, Japan</w:t>
      </w:r>
    </w:p>
    <w:p>
      <w:pPr>
        <w:pStyle w:val="BodyText"/>
      </w:pPr>
      <w:r>
        <w:t xml:space="preserve">Phone: +81-3-5411-8820 | Email: estimates@mason-tokyo.co.jp</w:t>
      </w:r>
    </w:p>
    <w:p>
      <w:pPr>
        <w:pStyle w:val="BodyText"/>
      </w:pPr>
      <w:r>
        <w:t xml:space="preserve">Corporate Number: 4010401023456 | Representative: Kenji Tanaka</w:t>
      </w:r>
    </w:p>
    <w:bookmarkEnd w:id="20"/>
    <w:bookmarkStart w:id="21" w:name="quotation-estimate"/>
    <w:p>
      <w:pPr>
        <w:pStyle w:val="Heading2"/>
      </w:pPr>
      <w:r>
        <w:t xml:space="preserve">QUOTATION ESTIMATE</w:t>
      </w:r>
    </w:p>
    <w:p>
      <w:pPr>
        <w:pStyle w:val="FirstParagraph"/>
      </w:pPr>
      <w:r>
        <w:t xml:space="preserve">Document No.: MSE-2025-0742</w:t>
      </w:r>
    </w:p>
    <w:p>
      <w:pPr>
        <w:pStyle w:val="BodyText"/>
      </w:pPr>
      <w:r>
        <w:t xml:space="preserve">Date Issued: July 15, 2025</w:t>
      </w:r>
    </w:p>
    <w:p>
      <w:pPr>
        <w:pStyle w:val="BodyText"/>
      </w:pPr>
      <w:r>
        <w:t xml:space="preserve">Valid Until: August 14, 2025</w:t>
      </w:r>
    </w:p>
    <w:bookmarkEnd w:id="21"/>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Sumida Riverfront Development Group, K.K.</w:t>
            </w:r>
          </w:p>
        </w:tc>
      </w:tr>
      <w:tr>
        <w:tc>
          <w:tcPr/>
          <w:p>
            <w:pPr>
              <w:pStyle w:val="Compact"/>
              <w:jc w:val="left"/>
            </w:pPr>
            <w:r>
              <w:t xml:space="preserve">Project Address</w:t>
            </w:r>
          </w:p>
        </w:tc>
        <w:tc>
          <w:tcPr/>
          <w:p>
            <w:pPr>
              <w:pStyle w:val="Compact"/>
              <w:jc w:val="left"/>
            </w:pPr>
            <w:r>
              <w:t xml:space="preserve">1-7-3 Asakusa, Taito-ku, Tokyo 111-0032, Japan Tokyo</w:t>
            </w:r>
          </w:p>
        </w:tc>
      </w:tr>
      <w:tr>
        <w:tc>
          <w:tcPr/>
          <w:p>
            <w:pPr>
              <w:pStyle w:val="Compact"/>
              <w:jc w:val="left"/>
            </w:pPr>
            <w:r>
              <w:t xml:space="preserve">Project Contact</w:t>
            </w:r>
          </w:p>
        </w:tc>
        <w:tc>
          <w:tcPr/>
          <w:p>
            <w:pPr>
              <w:pStyle w:val="Compact"/>
              <w:jc w:val="left"/>
            </w:pPr>
            <w:r>
              <w:t xml:space="preserve">Mr. Hiroshi Yamamoto, Senior Project Director</w:t>
            </w:r>
          </w:p>
        </w:tc>
      </w:tr>
      <w:tr>
        <w:tc>
          <w:tcPr/>
          <w:p>
            <w:pPr>
              <w:pStyle w:val="Compact"/>
              <w:jc w:val="left"/>
            </w:pPr>
            <w:r>
              <w:t xml:space="preserve">Contact Phone</w:t>
            </w:r>
          </w:p>
        </w:tc>
        <w:tc>
          <w:tcPr/>
          <w:p>
            <w:pPr>
              <w:pStyle w:val="Compact"/>
              <w:jc w:val="left"/>
            </w:pPr>
            <w:r>
              <w:t xml:space="preserve">+81-90-2345-6789</w:t>
            </w:r>
          </w:p>
        </w:tc>
      </w:tr>
      <w:tr>
        <w:tc>
          <w:tcPr/>
          <w:p>
            <w:pPr>
              <w:pStyle w:val="Compact"/>
              <w:jc w:val="left"/>
            </w:pPr>
            <w:r>
              <w:t xml:space="preserve">Contact Email</w:t>
            </w:r>
          </w:p>
        </w:tc>
        <w:tc>
          <w:tcPr/>
          <w:p>
            <w:pPr>
              <w:pStyle w:val="Compact"/>
              <w:jc w:val="left"/>
            </w:pPr>
            <w:r>
              <w:t xml:space="preserve">h.yamamoto@sumida-riverfront.jp</w:t>
            </w:r>
          </w:p>
        </w:tc>
      </w:tr>
    </w:tbl>
    <w:p>
      <w:pPr>
        <w:pStyle w:val="BodyText"/>
      </w:pPr>
      <w:r>
        <w:t xml:space="preserve">2. Project Overview</w:t>
      </w:r>
    </w:p>
    <w:p>
      <w:pPr>
        <w:pStyle w:val="BodyText"/>
      </w:pPr>
      <w:r>
        <w:t xml:space="preserve">This</w:t>
      </w:r>
      <w:r>
        <w:t xml:space="preserve"> </w:t>
      </w:r>
      <w:r>
        <w:t xml:space="preserve">Quotation Estimate</w:t>
      </w:r>
      <w:r>
        <w:t xml:space="preserve"> </w:t>
      </w:r>
      <w:r>
        <w:t xml:space="preserve">is prepared by</w:t>
      </w:r>
      <w:r>
        <w:t xml:space="preserve"> </w:t>
      </w:r>
      <w:r>
        <w:t xml:space="preserve">Mason</w:t>
      </w:r>
      <w:r>
        <w:t xml:space="preserve"> </w:t>
      </w:r>
      <w:r>
        <w:t xml:space="preserve">Construction &amp; Stonework Co., Ltd. for the comprehensive masonry and stonework renovation project located in the Asakusa district of</w:t>
      </w:r>
      <w:r>
        <w:t xml:space="preserve"> </w:t>
      </w:r>
      <w:r>
        <w:t xml:space="preserve">Japan Tokyo</w:t>
      </w:r>
      <w:r>
        <w:t xml:space="preserve">. The project involves the restoration and reconstruction of historic stone facades, the installation of new granite retaining walls, and the application of traditional Japanese masonry techniques to a heritage-registered commercial building.</w:t>
      </w:r>
      <w:r>
        <w:t xml:space="preserve"> </w:t>
      </w:r>
      <w:r>
        <w:t xml:space="preserve">Mason</w:t>
      </w:r>
      <w:r>
        <w:t xml:space="preserve"> </w:t>
      </w:r>
      <w:r>
        <w:t xml:space="preserve">has been selected as the primary masonry contractor due to our specialized expertise in both traditional Japanese stonecraft and modern structural masonry, making us uniquely qualified for this project in</w:t>
      </w:r>
      <w:r>
        <w:t xml:space="preserve"> </w:t>
      </w:r>
      <w:r>
        <w:t xml:space="preserve">Japan Tokyo</w:t>
      </w:r>
      <w:r>
        <w:t xml:space="preserve">.</w:t>
      </w:r>
    </w:p>
    <w:p>
      <w:pPr>
        <w:pStyle w:val="BodyText"/>
      </w:pPr>
      <w:r>
        <w:t xml:space="preserve">3. Scope of Work and Itemized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Work</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Amount (JPY)</w:t>
            </w:r>
          </w:p>
        </w:tc>
      </w:tr>
      <w:tr>
        <w:tc>
          <w:tcPr/>
          <w:p>
            <w:pPr>
              <w:pStyle w:val="Compact"/>
              <w:jc w:val="left"/>
            </w:pPr>
            <w:r>
              <w:t xml:space="preserve">1</w:t>
            </w:r>
          </w:p>
        </w:tc>
        <w:tc>
          <w:tcPr/>
          <w:p>
            <w:pPr>
              <w:pStyle w:val="Compact"/>
              <w:jc w:val="left"/>
            </w:pPr>
            <w:r>
              <w:t xml:space="preserve">Demolition and removal of deteriorated stone facade panels (Asakusa heritage building, Japan Tokyo)</w:t>
            </w:r>
          </w:p>
        </w:tc>
        <w:tc>
          <w:tcPr/>
          <w:p>
            <w:pPr>
              <w:pStyle w:val="Compact"/>
              <w:jc w:val="left"/>
            </w:pPr>
            <w:r>
              <w:t xml:space="preserve">1</w:t>
            </w:r>
          </w:p>
        </w:tc>
        <w:tc>
          <w:tcPr/>
          <w:p>
            <w:pPr>
              <w:pStyle w:val="Compact"/>
              <w:jc w:val="left"/>
            </w:pPr>
            <w:r>
              <w:t xml:space="preserve">Lot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Supply and installation of Iwagaki granite blocks for facade reconstruction (Mason premium grade)</w:t>
            </w:r>
          </w:p>
        </w:tc>
        <w:tc>
          <w:tcPr/>
          <w:p>
            <w:pPr>
              <w:pStyle w:val="Compact"/>
              <w:jc w:val="left"/>
            </w:pPr>
            <w:r>
              <w:t xml:space="preserve">420</w:t>
            </w:r>
          </w:p>
        </w:tc>
        <w:tc>
          <w:tcPr/>
          <w:p>
            <w:pPr>
              <w:pStyle w:val="Compact"/>
              <w:jc w:val="left"/>
            </w:pPr>
            <w:r>
              <w:t xml:space="preserve">m³</w:t>
            </w:r>
          </w:p>
        </w:tc>
        <w:tc>
          <w:tcPr/>
          <w:p>
            <w:pPr>
              <w:pStyle w:val="Compact"/>
              <w:jc w:val="left"/>
            </w:pPr>
            <w:r>
              <w:t xml:space="preserve">185,000</w:t>
            </w:r>
          </w:p>
        </w:tc>
        <w:tc>
          <w:tcPr/>
          <w:p>
            <w:pPr>
              <w:pStyle w:val="Compact"/>
              <w:jc w:val="left"/>
            </w:pPr>
            <w:r>
              <w:t xml:space="preserve">77,700,000</w:t>
            </w:r>
          </w:p>
        </w:tc>
      </w:tr>
      <w:tr>
        <w:tc>
          <w:tcPr/>
          <w:p>
            <w:pPr>
              <w:pStyle w:val="Compact"/>
              <w:jc w:val="left"/>
            </w:pPr>
            <w:r>
              <w:t xml:space="preserve">3</w:t>
            </w:r>
          </w:p>
        </w:tc>
        <w:tc>
          <w:tcPr/>
          <w:p>
            <w:pPr>
              <w:pStyle w:val="Compact"/>
              <w:jc w:val="left"/>
            </w:pPr>
            <w:r>
              <w:t xml:space="preserve">Traditional Japanese masonry joint work using hand-carved stone (Mason artisan team)</w:t>
            </w:r>
          </w:p>
        </w:tc>
        <w:tc>
          <w:tcPr/>
          <w:p>
            <w:pPr>
              <w:pStyle w:val="Compact"/>
              <w:jc w:val="left"/>
            </w:pPr>
            <w:r>
              <w:t xml:space="preserve">1,200</w:t>
            </w:r>
          </w:p>
        </w:tc>
        <w:tc>
          <w:tcPr/>
          <w:p>
            <w:pPr>
              <w:pStyle w:val="Compact"/>
              <w:jc w:val="left"/>
            </w:pPr>
            <w:r>
              <w:t xml:space="preserve">m²</w:t>
            </w:r>
          </w:p>
        </w:tc>
        <w:tc>
          <w:tcPr/>
          <w:p>
            <w:pPr>
              <w:pStyle w:val="Compact"/>
              <w:jc w:val="left"/>
            </w:pPr>
            <w:r>
              <w:t xml:space="preserve">42,000</w:t>
            </w:r>
          </w:p>
        </w:tc>
        <w:tc>
          <w:tcPr/>
          <w:p>
            <w:pPr>
              <w:pStyle w:val="Compact"/>
              <w:jc w:val="left"/>
            </w:pPr>
            <w:r>
              <w:t xml:space="preserve">50,400,000</w:t>
            </w:r>
          </w:p>
        </w:tc>
      </w:tr>
      <w:tr>
        <w:tc>
          <w:tcPr/>
          <w:p>
            <w:pPr>
              <w:pStyle w:val="Compact"/>
              <w:jc w:val="left"/>
            </w:pPr>
            <w:r>
              <w:t xml:space="preserve">4</w:t>
            </w:r>
          </w:p>
        </w:tc>
        <w:tc>
          <w:tcPr/>
          <w:p>
            <w:pPr>
              <w:pStyle w:val="Compact"/>
              <w:jc w:val="left"/>
            </w:pPr>
            <w:r>
              <w:t xml:space="preserve">Construction of granite retaining wall along Sumida Riverfront (Japan Tokyo municipal specification)</w:t>
            </w:r>
          </w:p>
        </w:tc>
        <w:tc>
          <w:tcPr/>
          <w:p>
            <w:pPr>
              <w:pStyle w:val="Compact"/>
              <w:jc w:val="left"/>
            </w:pPr>
            <w:r>
              <w:t xml:space="preserve">380</w:t>
            </w:r>
          </w:p>
        </w:tc>
        <w:tc>
          <w:tcPr/>
          <w:p>
            <w:pPr>
              <w:pStyle w:val="Compact"/>
              <w:jc w:val="left"/>
            </w:pPr>
            <w:r>
              <w:t xml:space="preserve">m²</w:t>
            </w:r>
          </w:p>
        </w:tc>
        <w:tc>
          <w:tcPr/>
          <w:p>
            <w:pPr>
              <w:pStyle w:val="Compact"/>
              <w:jc w:val="left"/>
            </w:pPr>
            <w:r>
              <w:t xml:space="preserve">98,500</w:t>
            </w:r>
          </w:p>
        </w:tc>
        <w:tc>
          <w:tcPr/>
          <w:p>
            <w:pPr>
              <w:pStyle w:val="Compact"/>
              <w:jc w:val="left"/>
            </w:pPr>
            <w:r>
              <w:t xml:space="preserve">37,430,000</w:t>
            </w:r>
          </w:p>
        </w:tc>
      </w:tr>
      <w:tr>
        <w:tc>
          <w:tcPr/>
          <w:p>
            <w:pPr>
              <w:pStyle w:val="Compact"/>
              <w:jc w:val="left"/>
            </w:pPr>
            <w:r>
              <w:t xml:space="preserve">5</w:t>
            </w:r>
          </w:p>
        </w:tc>
        <w:tc>
          <w:tcPr/>
          <w:p>
            <w:pPr>
              <w:pStyle w:val="Compact"/>
              <w:jc w:val="left"/>
            </w:pPr>
            <w:r>
              <w:t xml:space="preserve">Stone foundation reinforcement and seismic retrofitting per Japan Tokyo building code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12,600,000</w:t>
            </w:r>
          </w:p>
        </w:tc>
        <w:tc>
          <w:tcPr/>
          <w:p>
            <w:pPr>
              <w:pStyle w:val="Compact"/>
              <w:jc w:val="left"/>
            </w:pPr>
            <w:r>
              <w:t xml:space="preserve">12,600,000</w:t>
            </w:r>
          </w:p>
        </w:tc>
      </w:tr>
      <w:tr>
        <w:tc>
          <w:tcPr/>
          <w:p>
            <w:pPr>
              <w:pStyle w:val="Compact"/>
              <w:jc w:val="left"/>
            </w:pPr>
            <w:r>
              <w:t xml:space="preserve">6</w:t>
            </w:r>
          </w:p>
        </w:tc>
        <w:tc>
          <w:tcPr/>
          <w:p>
            <w:pPr>
              <w:pStyle w:val="Compact"/>
              <w:jc w:val="left"/>
            </w:pPr>
            <w:r>
              <w:t xml:space="preserve">Application of traditional Japanese stone sealant and weatherproofing treatment</w:t>
            </w:r>
          </w:p>
        </w:tc>
        <w:tc>
          <w:tcPr/>
          <w:p>
            <w:pPr>
              <w:pStyle w:val="Compact"/>
              <w:jc w:val="left"/>
            </w:pPr>
            <w:r>
              <w:t xml:space="preserve">1,200</w:t>
            </w:r>
          </w:p>
        </w:tc>
        <w:tc>
          <w:tcPr/>
          <w:p>
            <w:pPr>
              <w:pStyle w:val="Compact"/>
              <w:jc w:val="left"/>
            </w:pPr>
            <w:r>
              <w:t xml:space="preserve">m²</w:t>
            </w:r>
          </w:p>
        </w:tc>
        <w:tc>
          <w:tcPr/>
          <w:p>
            <w:pPr>
              <w:pStyle w:val="Compact"/>
              <w:jc w:val="left"/>
            </w:pPr>
            <w:r>
              <w:t xml:space="preserve">8,500</w:t>
            </w:r>
          </w:p>
        </w:tc>
        <w:tc>
          <w:tcPr/>
          <w:p>
            <w:pPr>
              <w:pStyle w:val="Compact"/>
              <w:jc w:val="left"/>
            </w:pPr>
            <w:r>
              <w:t xml:space="preserve">10,200,000</w:t>
            </w:r>
          </w:p>
        </w:tc>
      </w:tr>
      <w:tr>
        <w:tc>
          <w:tcPr/>
          <w:p>
            <w:pPr>
              <w:pStyle w:val="Compact"/>
              <w:jc w:val="left"/>
            </w:pPr>
            <w:r>
              <w:t xml:space="preserve">7</w:t>
            </w:r>
          </w:p>
        </w:tc>
        <w:tc>
          <w:tcPr/>
          <w:p>
            <w:pPr>
              <w:pStyle w:val="Compact"/>
              <w:jc w:val="left"/>
            </w:pPr>
            <w:r>
              <w:t xml:space="preserve">Site management, safety compliance, and Japan Tokyo municipal permit coordination</w:t>
            </w:r>
          </w:p>
        </w:tc>
        <w:tc>
          <w:tcPr/>
          <w:p>
            <w:pPr>
              <w:pStyle w:val="Compact"/>
              <w:jc w:val="left"/>
            </w:pPr>
            <w:r>
              <w:t xml:space="preserve">90</w:t>
            </w:r>
          </w:p>
        </w:tc>
        <w:tc>
          <w:tcPr/>
          <w:p>
            <w:pPr>
              <w:pStyle w:val="Compact"/>
              <w:jc w:val="left"/>
            </w:pPr>
            <w:r>
              <w:t xml:space="preserve">Days</w:t>
            </w:r>
          </w:p>
        </w:tc>
        <w:tc>
          <w:tcPr/>
          <w:p>
            <w:pPr>
              <w:pStyle w:val="Compact"/>
              <w:jc w:val="left"/>
            </w:pPr>
            <w:r>
              <w:t xml:space="preserve">185,000</w:t>
            </w:r>
          </w:p>
        </w:tc>
        <w:tc>
          <w:tcPr/>
          <w:p>
            <w:pPr>
              <w:pStyle w:val="Compact"/>
              <w:jc w:val="left"/>
            </w:pPr>
            <w:r>
              <w:t xml:space="preserve">16,650,000</w:t>
            </w:r>
          </w:p>
        </w:tc>
      </w:tr>
      <w:tr>
        <w:tc>
          <w:tcPr/>
          <w:p>
            <w:pPr>
              <w:pStyle w:val="Compact"/>
              <w:jc w:val="left"/>
            </w:pPr>
            <w:r>
              <w:t xml:space="preserve">8</w:t>
            </w:r>
          </w:p>
        </w:tc>
        <w:tc>
          <w:tcPr/>
          <w:p>
            <w:pPr>
              <w:pStyle w:val="Compact"/>
              <w:jc w:val="left"/>
            </w:pPr>
            <w:r>
              <w:t xml:space="preserve">Waste disposal, material transport, and Japan Tokyo environmental compliance fees</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w:t>
            </w:r>
          </w:p>
        </w:tc>
        <w:tc>
          <w:tcPr/>
          <w:p>
            <w:pPr>
              <w:pStyle w:val="Compact"/>
              <w:jc w:val="left"/>
            </w:pPr>
            <w:r>
              <w:t xml:space="preserve">3,200,000</w:t>
            </w:r>
          </w:p>
        </w:tc>
      </w:tr>
      <w:tr>
        <w:tc>
          <w:tcPr>
            <w:gridSpan w:val="5"/>
          </w:tcPr>
          <w:p>
            <w:pPr>
              <w:pStyle w:val="Compact"/>
              <w:jc w:val="left"/>
            </w:pPr>
            <w:r>
              <w:t xml:space="preserve">Subtotal</w:t>
            </w:r>
          </w:p>
        </w:tc>
        <w:tc>
          <w:tcPr/>
          <w:p>
            <w:pPr>
              <w:pStyle w:val="Compact"/>
              <w:jc w:val="left"/>
            </w:pPr>
            <w:r>
              <w:t xml:space="preserve">211,030,000</w:t>
            </w:r>
          </w:p>
        </w:tc>
      </w:tr>
      <w:tr>
        <w:tc>
          <w:tcPr>
            <w:gridSpan w:val="5"/>
          </w:tcPr>
          <w:p>
            <w:pPr>
              <w:pStyle w:val="Compact"/>
              <w:jc w:val="left"/>
            </w:pPr>
            <w:r>
              <w:t xml:space="preserve">Consumption Tax (10%)</w:t>
            </w:r>
          </w:p>
        </w:tc>
        <w:tc>
          <w:tcPr/>
          <w:p>
            <w:pPr>
              <w:pStyle w:val="Compact"/>
              <w:jc w:val="left"/>
            </w:pPr>
            <w:r>
              <w:t xml:space="preserve">21,103,000</w:t>
            </w:r>
          </w:p>
        </w:tc>
      </w:tr>
      <w:tr>
        <w:tc>
          <w:tcPr>
            <w:gridSpan w:val="5"/>
          </w:tcPr>
          <w:p>
            <w:pPr>
              <w:pStyle w:val="Compact"/>
              <w:jc w:val="left"/>
            </w:pPr>
            <w:r>
              <w:t xml:space="preserve">GRAND TOTAL (JPY)</w:t>
            </w:r>
          </w:p>
        </w:tc>
        <w:tc>
          <w:tcPr/>
          <w:p>
            <w:pPr>
              <w:pStyle w:val="Compact"/>
              <w:jc w:val="left"/>
            </w:pPr>
            <w:r>
              <w:t xml:space="preserve">232,133,000</w:t>
            </w:r>
          </w:p>
        </w:tc>
      </w:tr>
    </w:tbl>
    <w:p>
      <w:pPr>
        <w:pStyle w:val="BodyText"/>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(JPY)</w:t>
            </w:r>
          </w:p>
        </w:tc>
        <w:tc>
          <w:tcPr/>
          <w:p>
            <w:pPr>
              <w:pStyle w:val="Compact"/>
              <w:jc w:val="left"/>
            </w:pPr>
            <w:r>
              <w:t xml:space="preserve">Due Date</w:t>
            </w:r>
          </w:p>
        </w:tc>
      </w:tr>
      <w:tr>
        <w:tc>
          <w:tcPr/>
          <w:p>
            <w:pPr>
              <w:pStyle w:val="Compact"/>
              <w:jc w:val="left"/>
            </w:pPr>
            <w:r>
              <w:t xml:space="preserve">Contract signing and mobilization</w:t>
            </w:r>
          </w:p>
        </w:tc>
        <w:tc>
          <w:tcPr/>
          <w:p>
            <w:pPr>
              <w:pStyle w:val="Compact"/>
              <w:jc w:val="left"/>
            </w:pPr>
            <w:r>
              <w:t xml:space="preserve">20%</w:t>
            </w:r>
          </w:p>
        </w:tc>
        <w:tc>
          <w:tcPr/>
          <w:p>
            <w:pPr>
              <w:pStyle w:val="Compact"/>
              <w:jc w:val="left"/>
            </w:pPr>
            <w:r>
              <w:t xml:space="preserve">46,426,600</w:t>
            </w:r>
          </w:p>
        </w:tc>
        <w:tc>
          <w:tcPr/>
          <w:p>
            <w:pPr>
              <w:pStyle w:val="Compact"/>
              <w:jc w:val="left"/>
            </w:pPr>
            <w:r>
              <w:t xml:space="preserve">Upon contract execution</w:t>
            </w:r>
          </w:p>
        </w:tc>
      </w:tr>
      <w:tr>
        <w:tc>
          <w:tcPr/>
          <w:p>
            <w:pPr>
              <w:pStyle w:val="Compact"/>
              <w:jc w:val="left"/>
            </w:pPr>
            <w:r>
              <w:t xml:space="preserve">Completion of facade demolition and foundation work</w:t>
            </w:r>
          </w:p>
        </w:tc>
        <w:tc>
          <w:tcPr/>
          <w:p>
            <w:pPr>
              <w:pStyle w:val="Compact"/>
              <w:jc w:val="left"/>
            </w:pPr>
            <w:r>
              <w:t xml:space="preserve">30%</w:t>
            </w:r>
          </w:p>
        </w:tc>
        <w:tc>
          <w:tcPr/>
          <w:p>
            <w:pPr>
              <w:pStyle w:val="Compact"/>
              <w:jc w:val="left"/>
            </w:pPr>
            <w:r>
              <w:t xml:space="preserve">69,639,900</w:t>
            </w:r>
          </w:p>
        </w:tc>
        <w:tc>
          <w:tcPr/>
          <w:p>
            <w:pPr>
              <w:pStyle w:val="Compact"/>
              <w:jc w:val="left"/>
            </w:pPr>
            <w:r>
              <w:t xml:space="preserve">Day 30 of project</w:t>
            </w:r>
          </w:p>
        </w:tc>
      </w:tr>
      <w:tr>
        <w:tc>
          <w:tcPr/>
          <w:p>
            <w:pPr>
              <w:pStyle w:val="Compact"/>
              <w:jc w:val="left"/>
            </w:pPr>
            <w:r>
              <w:t xml:space="preserve">Completion of masonry installation and retaining wall</w:t>
            </w:r>
          </w:p>
        </w:tc>
        <w:tc>
          <w:tcPr/>
          <w:p>
            <w:pPr>
              <w:pStyle w:val="Compact"/>
              <w:jc w:val="left"/>
            </w:pPr>
            <w:r>
              <w:t xml:space="preserve">35%</w:t>
            </w:r>
          </w:p>
        </w:tc>
        <w:tc>
          <w:tcPr/>
          <w:p>
            <w:pPr>
              <w:pStyle w:val="Compact"/>
              <w:jc w:val="left"/>
            </w:pPr>
            <w:r>
              <w:t xml:space="preserve">81,246,550</w:t>
            </w:r>
          </w:p>
        </w:tc>
        <w:tc>
          <w:tcPr/>
          <w:p>
            <w:pPr>
              <w:pStyle w:val="Compact"/>
              <w:jc w:val="left"/>
            </w:pPr>
            <w:r>
              <w:t xml:space="preserve">Day 65 of project</w:t>
            </w:r>
          </w:p>
        </w:tc>
      </w:tr>
      <w:tr>
        <w:tc>
          <w:tcPr/>
          <w:p>
            <w:pPr>
              <w:pStyle w:val="Compact"/>
              <w:jc w:val="left"/>
            </w:pPr>
            <w:r>
              <w:t xml:space="preserve">Final inspection, handover, and warranty activation</w:t>
            </w:r>
          </w:p>
        </w:tc>
        <w:tc>
          <w:tcPr/>
          <w:p>
            <w:pPr>
              <w:pStyle w:val="Compact"/>
              <w:jc w:val="left"/>
            </w:pPr>
            <w:r>
              <w:t xml:space="preserve">15%</w:t>
            </w:r>
          </w:p>
        </w:tc>
        <w:tc>
          <w:tcPr/>
          <w:p>
            <w:pPr>
              <w:pStyle w:val="Compact"/>
              <w:jc w:val="left"/>
            </w:pPr>
            <w:r>
              <w:t xml:space="preserve">34,819,950</w:t>
            </w:r>
          </w:p>
        </w:tc>
        <w:tc>
          <w:tcPr/>
          <w:p>
            <w:pPr>
              <w:pStyle w:val="Compact"/>
              <w:jc w:val="left"/>
            </w:pPr>
            <w:r>
              <w:t xml:space="preserve">Day 90 of project</w:t>
            </w:r>
          </w:p>
        </w:tc>
      </w:tr>
    </w:tbl>
    <w:p>
      <w:pPr>
        <w:pStyle w:val="BodyText"/>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w:t>
      </w:r>
      <w:r>
        <w:t xml:space="preserve"> </w:t>
      </w:r>
      <w:r>
        <w:t xml:space="preserve">Mason</w:t>
      </w:r>
      <w:r>
        <w:t xml:space="preserve"> </w:t>
      </w:r>
      <w:r>
        <w:t xml:space="preserve">reserves the right to revise pricing due to material cost fluctuations in the</w:t>
      </w:r>
      <w:r>
        <w:t xml:space="preserve"> </w:t>
      </w:r>
      <w:r>
        <w:t xml:space="preserve">Japan Tokyo</w:t>
      </w:r>
      <w:r>
        <w:t xml:space="preserve"> </w:t>
      </w:r>
      <w:r>
        <w:t xml:space="preserve">construction market.</w:t>
      </w:r>
    </w:p>
    <w:p>
      <w:pPr>
        <w:numPr>
          <w:ilvl w:val="0"/>
          <w:numId w:val="1001"/>
        </w:numPr>
        <w:pStyle w:val="Compact"/>
      </w:pPr>
      <w:r>
        <w:t xml:space="preserve">All work shall be performed in strict compliance with the Building Standards Act of Japan, the Tokyo Metropolitan Government construction regulations, and applicable</w:t>
      </w:r>
      <w:r>
        <w:t xml:space="preserve"> </w:t>
      </w:r>
      <w:r>
        <w:t xml:space="preserve">Japan Tokyo</w:t>
      </w:r>
      <w:r>
        <w:t xml:space="preserve"> </w:t>
      </w:r>
      <w:r>
        <w:t xml:space="preserve">municipal ordinances governing masonry and stonework in heritage zones.</w:t>
      </w:r>
    </w:p>
    <w:p>
      <w:pPr>
        <w:numPr>
          <w:ilvl w:val="0"/>
          <w:numId w:val="1001"/>
        </w:numPr>
        <w:pStyle w:val="Compact"/>
      </w:pPr>
      <w:r>
        <w:t xml:space="preserve">Mason</w:t>
      </w:r>
      <w:r>
        <w:t xml:space="preserve"> </w:t>
      </w:r>
      <w:r>
        <w:t xml:space="preserve">shall provide a minimum five-year structural warranty on all masonry work and a two-year warranty on sealant and weatherproofing treatments. Warranty claims must be submitted in writing to</w:t>
      </w:r>
      <w:r>
        <w:t xml:space="preserve"> </w:t>
      </w:r>
      <w:r>
        <w:t xml:space="preserve">Mason</w:t>
      </w:r>
      <w:r>
        <w:t xml:space="preserve"> </w:t>
      </w:r>
      <w:r>
        <w:t xml:space="preserve">headquarters in Tokyo.</w:t>
      </w:r>
    </w:p>
    <w:p>
      <w:pPr>
        <w:numPr>
          <w:ilvl w:val="0"/>
          <w:numId w:val="1001"/>
        </w:numPr>
        <w:pStyle w:val="Compact"/>
      </w:pPr>
      <w:r>
        <w:t xml:space="preserve">The project schedule assumes a duration of ninety (90) calendar days from the date of commencement. Delays caused by force majeure events, including typhoons common to</w:t>
      </w:r>
      <w:r>
        <w:t xml:space="preserve"> </w:t>
      </w:r>
      <w:r>
        <w:t xml:space="preserve">Japan Tokyo</w:t>
      </w:r>
      <w:r>
        <w:t xml:space="preserve">, or client-directed changes shall extend the schedule accordingly.</w:t>
      </w:r>
    </w:p>
    <w:p>
      <w:pPr>
        <w:numPr>
          <w:ilvl w:val="0"/>
          <w:numId w:val="1001"/>
        </w:numPr>
        <w:pStyle w:val="Compact"/>
      </w:pPr>
      <w:r>
        <w:t xml:space="preserve">All materials specified in this</w:t>
      </w:r>
      <w:r>
        <w:t xml:space="preserve"> </w:t>
      </w:r>
      <w:r>
        <w:t xml:space="preserve">Quotation Estimate</w:t>
      </w:r>
      <w:r>
        <w:t xml:space="preserve"> </w:t>
      </w:r>
      <w:r>
        <w:t xml:space="preserve">shall be sourced from certified Japanese quarries. Substitutions require prior written approval from the client and the</w:t>
      </w:r>
      <w:r>
        <w:t xml:space="preserve"> </w:t>
      </w:r>
      <w:r>
        <w:t xml:space="preserve">Japan Tokyo</w:t>
      </w:r>
      <w:r>
        <w:t xml:space="preserve"> </w:t>
      </w:r>
      <w:r>
        <w:t xml:space="preserve">heritage preservation authority.</w:t>
      </w:r>
    </w:p>
    <w:p>
      <w:pPr>
        <w:numPr>
          <w:ilvl w:val="0"/>
          <w:numId w:val="1001"/>
        </w:numPr>
        <w:pStyle w:val="Compact"/>
      </w:pPr>
      <w:r>
        <w:t xml:space="preserve">Mason</w:t>
      </w:r>
      <w:r>
        <w:t xml:space="preserve"> </w:t>
      </w:r>
      <w:r>
        <w:t xml:space="preserve">shall maintain comprehensive construction all-risk insurance and workers' compensation coverage throughout the project duration in accordance with Japanese labor law.</w:t>
      </w:r>
    </w:p>
    <w:p>
      <w:pPr>
        <w:numPr>
          <w:ilvl w:val="0"/>
          <w:numId w:val="1001"/>
        </w:numPr>
        <w:pStyle w:val="Compact"/>
      </w:pPr>
      <w:r>
        <w:t xml:space="preserve">Any changes to the scope of work must be documented through a formal Change Order signed by both parties.</w:t>
      </w:r>
      <w:r>
        <w:t xml:space="preserve"> </w:t>
      </w:r>
      <w:r>
        <w:t xml:space="preserve">Mason</w:t>
      </w:r>
      <w:r>
        <w:t xml:space="preserve"> </w:t>
      </w:r>
      <w:r>
        <w:t xml:space="preserve">will provide a revised</w:t>
      </w:r>
      <w:r>
        <w:t xml:space="preserve"> </w:t>
      </w:r>
      <w:r>
        <w:t xml:space="preserve">Quotation Estimate</w:t>
      </w:r>
      <w:r>
        <w:t xml:space="preserve"> </w:t>
      </w:r>
      <w:r>
        <w:t xml:space="preserve">for any such changes within five business days.</w:t>
      </w:r>
    </w:p>
    <w:p>
      <w:pPr>
        <w:numPr>
          <w:ilvl w:val="0"/>
          <w:numId w:val="1001"/>
        </w:numPr>
        <w:pStyle w:val="Compact"/>
      </w:pPr>
      <w:r>
        <w:t xml:space="preserve">Disputes arising from this agreement shall be resolved through mediation in Tokyo, Japan, in accordance with the rules of the Japan Construction Arbitration Association.</w:t>
      </w:r>
    </w:p>
    <w:p>
      <w:pPr>
        <w:pStyle w:val="FirstParagraph"/>
      </w:pPr>
      <w:r>
        <w:t xml:space="preserve">6. Acceptance and Authorization</w:t>
      </w:r>
    </w:p>
    <w:p>
      <w:pPr>
        <w:pStyle w:val="BodyText"/>
      </w:pPr>
      <w:r>
        <w:t xml:space="preserve">By signing below, both parties acknowledge and agree to the terms, conditions, and pricing outlined in this</w:t>
      </w:r>
      <w:r>
        <w:t xml:space="preserve"> </w:t>
      </w:r>
      <w:r>
        <w:t xml:space="preserve">Quotation Estimate</w:t>
      </w:r>
      <w:r>
        <w:t xml:space="preserve"> </w:t>
      </w:r>
      <w:r>
        <w:t xml:space="preserve">prepared by</w:t>
      </w:r>
      <w:r>
        <w:t xml:space="preserve"> </w:t>
      </w:r>
      <w:r>
        <w:t xml:space="preserve">Mason</w:t>
      </w:r>
      <w:r>
        <w:t xml:space="preserve"> </w:t>
      </w:r>
      <w:r>
        <w:t xml:space="preserve">Construction &amp; Stonework Co., Ltd. for the masonry project in</w:t>
      </w:r>
      <w:r>
        <w:t xml:space="preserve"> </w:t>
      </w:r>
      <w:r>
        <w:t xml:space="preserve">Japan Tokyo</w:t>
      </w:r>
      <w:r>
        <w:t xml:space="preserve">.</w:t>
      </w:r>
    </w:p>
    <w:p>
      <w:pPr>
        <w:pStyle w:val="BodyText"/>
      </w:pPr>
      <w:r>
        <w:rPr>
          <w:bCs/>
          <w:b/>
        </w:rPr>
        <w:t xml:space="preserve">For Mason Construction &amp; Stonework Co., Ltd.</w:t>
      </w:r>
    </w:p>
    <w:p>
      <w:pPr>
        <w:pStyle w:val="BodyText"/>
      </w:pPr>
      <w:r>
        <w:t xml:space="preserve">Name: Kenji Tanaka</w:t>
      </w:r>
    </w:p>
    <w:p>
      <w:pPr>
        <w:pStyle w:val="BodyText"/>
      </w:pPr>
      <w:r>
        <w:t xml:space="preserve">Title: President &amp; Chief Mason</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Sumida Riverfront Development Group, K.K.</w:t>
      </w:r>
    </w:p>
    <w:p>
      <w:pPr>
        <w:pStyle w:val="BodyText"/>
      </w:pPr>
      <w:r>
        <w:t xml:space="preserve">Name: Hiroshi Yamamoto</w:t>
      </w:r>
    </w:p>
    <w:p>
      <w:pPr>
        <w:pStyle w:val="BodyText"/>
      </w:pPr>
      <w:r>
        <w:t xml:space="preserve">Title: Senior Project Director</w:t>
      </w:r>
    </w:p>
    <w:p>
      <w:pPr>
        <w:pStyle w:val="BodyText"/>
      </w:pPr>
      <w:r>
        <w:t xml:space="preserve">Signature: ___________________________</w:t>
      </w:r>
    </w:p>
    <w:p>
      <w:pPr>
        <w:pStyle w:val="BodyText"/>
      </w:pPr>
      <w:r>
        <w:t xml:space="preserve">Date: ___________________________</w:t>
      </w:r>
    </w:p>
    <w:p>
      <w:pPr>
        <w:pStyle w:val="BodyText"/>
      </w:pPr>
      <w:r>
        <w:t xml:space="preserve">This Quotation Estimate (MSE-2025-0742) was prepared by Mason Construction &amp; Stonework Co., Ltd. for use in Japan Tokyo. All amounts are denominated in Japanese Yen (JPY). This document is confidential and intended solely for the named client. Unauthorized reproduction or distribution is prohibited. © 2025 Mason Construction &amp; Stonework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 Japan Tokyo</dc:title>
  <dc:creator/>
  <dc:language>en</dc:language>
  <cp:keywords/>
  <dcterms:created xsi:type="dcterms:W3CDTF">2026-10-10T02:34:48Z</dcterms:created>
  <dcterms:modified xsi:type="dcterms:W3CDTF">2026-10-10T02:34:48Z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